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7443D" w:rsidRDefault="0037443D" w:rsidP="0037443D">
      <w:pPr>
        <w:pStyle w:val="ConsPlusNormal"/>
        <w:jc w:val="center"/>
        <w:rPr>
          <w:b/>
          <w:sz w:val="36"/>
        </w:rPr>
      </w:pPr>
      <w:r>
        <w:rPr>
          <w:b/>
          <w:sz w:val="36"/>
        </w:rPr>
        <w:t xml:space="preserve">Памятка о правилах заполнения </w:t>
      </w:r>
    </w:p>
    <w:p w:rsidR="0037443D" w:rsidRDefault="0037443D" w:rsidP="0037443D">
      <w:pPr>
        <w:pStyle w:val="ConsPlusNormal"/>
        <w:jc w:val="center"/>
        <w:rPr>
          <w:b/>
          <w:sz w:val="36"/>
        </w:rPr>
      </w:pPr>
      <w:r>
        <w:rPr>
          <w:b/>
          <w:sz w:val="36"/>
        </w:rPr>
        <w:t>платежных поручений</w:t>
      </w: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629"/>
        <w:gridCol w:w="734"/>
        <w:gridCol w:w="839"/>
        <w:gridCol w:w="251"/>
        <w:gridCol w:w="89"/>
        <w:gridCol w:w="421"/>
        <w:gridCol w:w="47"/>
        <w:gridCol w:w="409"/>
        <w:gridCol w:w="141"/>
        <w:gridCol w:w="704"/>
        <w:gridCol w:w="454"/>
        <w:gridCol w:w="21"/>
        <w:gridCol w:w="710"/>
        <w:gridCol w:w="65"/>
        <w:gridCol w:w="302"/>
        <w:gridCol w:w="36"/>
        <w:gridCol w:w="361"/>
        <w:gridCol w:w="277"/>
        <w:gridCol w:w="42"/>
        <w:gridCol w:w="602"/>
        <w:gridCol w:w="761"/>
        <w:gridCol w:w="19"/>
        <w:gridCol w:w="35"/>
        <w:gridCol w:w="133"/>
        <w:gridCol w:w="178"/>
        <w:gridCol w:w="729"/>
        <w:gridCol w:w="8"/>
        <w:gridCol w:w="32"/>
        <w:gridCol w:w="12"/>
      </w:tblGrid>
      <w:tr w:rsidR="0037443D" w:rsidRPr="0037443D">
        <w:trPr>
          <w:gridAfter w:val="1"/>
          <w:wAfter w:w="12" w:type="dxa"/>
        </w:trPr>
        <w:tc>
          <w:tcPr>
            <w:tcW w:w="2453" w:type="dxa"/>
            <w:gridSpan w:val="4"/>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510" w:type="dxa"/>
            <w:gridSpan w:val="2"/>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2551" w:type="dxa"/>
            <w:gridSpan w:val="8"/>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2381" w:type="dxa"/>
            <w:gridSpan w:val="7"/>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1134" w:type="dxa"/>
            <w:gridSpan w:val="7"/>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r w:rsidRPr="0037443D">
              <w:rPr>
                <w:rFonts w:ascii="Times New Roman" w:hAnsi="Times New Roman" w:cs="Times New Roman"/>
                <w:sz w:val="16"/>
                <w:szCs w:val="16"/>
              </w:rPr>
              <w:t>(2)</w:t>
            </w:r>
          </w:p>
        </w:tc>
      </w:tr>
      <w:tr w:rsidR="0037443D" w:rsidRPr="0037443D">
        <w:trPr>
          <w:gridAfter w:val="1"/>
          <w:wAfter w:w="12" w:type="dxa"/>
        </w:trPr>
        <w:tc>
          <w:tcPr>
            <w:tcW w:w="2453" w:type="dxa"/>
            <w:gridSpan w:val="4"/>
          </w:tcPr>
          <w:p w:rsidR="0037443D" w:rsidRPr="0037443D" w:rsidRDefault="0037443D">
            <w:pPr>
              <w:autoSpaceDE w:val="0"/>
              <w:autoSpaceDN w:val="0"/>
              <w:adjustRightInd w:val="0"/>
              <w:spacing w:after="0" w:line="240" w:lineRule="auto"/>
              <w:outlineLvl w:val="0"/>
              <w:rPr>
                <w:rFonts w:ascii="Times New Roman" w:hAnsi="Times New Roman" w:cs="Times New Roman"/>
                <w:sz w:val="16"/>
                <w:szCs w:val="16"/>
              </w:rPr>
            </w:pPr>
          </w:p>
        </w:tc>
        <w:tc>
          <w:tcPr>
            <w:tcW w:w="510" w:type="dxa"/>
            <w:gridSpan w:val="2"/>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2551" w:type="dxa"/>
            <w:gridSpan w:val="8"/>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2381" w:type="dxa"/>
            <w:gridSpan w:val="7"/>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1134" w:type="dxa"/>
            <w:gridSpan w:val="7"/>
            <w:tcBorders>
              <w:bottom w:val="single" w:sz="4" w:space="0" w:color="auto"/>
            </w:tcBorders>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r w:rsidRPr="0037443D">
              <w:rPr>
                <w:rFonts w:ascii="Times New Roman" w:hAnsi="Times New Roman" w:cs="Times New Roman"/>
                <w:sz w:val="16"/>
                <w:szCs w:val="16"/>
              </w:rPr>
              <w:t>\</w:t>
            </w:r>
          </w:p>
        </w:tc>
      </w:tr>
      <w:tr w:rsidR="0037443D" w:rsidRPr="0037443D">
        <w:trPr>
          <w:gridAfter w:val="1"/>
          <w:wAfter w:w="12" w:type="dxa"/>
        </w:trPr>
        <w:tc>
          <w:tcPr>
            <w:tcW w:w="2453" w:type="dxa"/>
            <w:gridSpan w:val="4"/>
            <w:tcBorders>
              <w:bottom w:val="single" w:sz="4" w:space="0" w:color="auto"/>
            </w:tcBorders>
            <w:vAlign w:val="bottom"/>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r w:rsidRPr="0037443D">
              <w:rPr>
                <w:rFonts w:ascii="Times New Roman" w:hAnsi="Times New Roman" w:cs="Times New Roman"/>
                <w:sz w:val="16"/>
                <w:szCs w:val="16"/>
              </w:rPr>
              <w:t>(62)</w:t>
            </w:r>
          </w:p>
        </w:tc>
        <w:tc>
          <w:tcPr>
            <w:tcW w:w="510" w:type="dxa"/>
            <w:gridSpan w:val="2"/>
            <w:vAlign w:val="bottom"/>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2551" w:type="dxa"/>
            <w:gridSpan w:val="8"/>
            <w:tcBorders>
              <w:bottom w:val="single" w:sz="4" w:space="0" w:color="auto"/>
            </w:tcBorders>
            <w:vAlign w:val="bottom"/>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r w:rsidRPr="0037443D">
              <w:rPr>
                <w:rFonts w:ascii="Times New Roman" w:hAnsi="Times New Roman" w:cs="Times New Roman"/>
                <w:sz w:val="16"/>
                <w:szCs w:val="16"/>
              </w:rPr>
              <w:t>(71)</w:t>
            </w:r>
          </w:p>
        </w:tc>
        <w:tc>
          <w:tcPr>
            <w:tcW w:w="2381" w:type="dxa"/>
            <w:gridSpan w:val="7"/>
            <w:tcBorders>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1134" w:type="dxa"/>
            <w:gridSpan w:val="7"/>
            <w:tcBorders>
              <w:top w:val="single" w:sz="4" w:space="0" w:color="auto"/>
              <w:left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r w:rsidRPr="0037443D">
              <w:rPr>
                <w:rFonts w:ascii="Times New Roman" w:hAnsi="Times New Roman" w:cs="Times New Roman"/>
                <w:sz w:val="16"/>
                <w:szCs w:val="16"/>
              </w:rPr>
              <w:t>0401060</w:t>
            </w:r>
          </w:p>
        </w:tc>
      </w:tr>
      <w:tr w:rsidR="0037443D" w:rsidRPr="0037443D">
        <w:trPr>
          <w:gridAfter w:val="1"/>
          <w:wAfter w:w="12" w:type="dxa"/>
        </w:trPr>
        <w:tc>
          <w:tcPr>
            <w:tcW w:w="2453" w:type="dxa"/>
            <w:gridSpan w:val="4"/>
            <w:tcBorders>
              <w:top w:val="single" w:sz="4" w:space="0" w:color="auto"/>
            </w:tcBorders>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r w:rsidRPr="0037443D">
              <w:rPr>
                <w:rFonts w:ascii="Times New Roman" w:hAnsi="Times New Roman" w:cs="Times New Roman"/>
                <w:sz w:val="16"/>
                <w:szCs w:val="16"/>
              </w:rPr>
              <w:t>Поступ. в банк плат.</w:t>
            </w:r>
          </w:p>
        </w:tc>
        <w:tc>
          <w:tcPr>
            <w:tcW w:w="510" w:type="dxa"/>
            <w:gridSpan w:val="2"/>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2551" w:type="dxa"/>
            <w:gridSpan w:val="8"/>
            <w:tcBorders>
              <w:top w:val="single" w:sz="4" w:space="0" w:color="auto"/>
            </w:tcBorders>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r w:rsidRPr="0037443D">
              <w:rPr>
                <w:rFonts w:ascii="Times New Roman" w:hAnsi="Times New Roman" w:cs="Times New Roman"/>
                <w:sz w:val="16"/>
                <w:szCs w:val="16"/>
              </w:rPr>
              <w:t>Списано со сч. плат.</w:t>
            </w:r>
          </w:p>
        </w:tc>
        <w:tc>
          <w:tcPr>
            <w:tcW w:w="2381" w:type="dxa"/>
            <w:gridSpan w:val="7"/>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1134" w:type="dxa"/>
            <w:gridSpan w:val="7"/>
            <w:tcBorders>
              <w:top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r>
      <w:tr w:rsidR="0037443D" w:rsidRPr="0037443D">
        <w:trPr>
          <w:gridAfter w:val="2"/>
          <w:wAfter w:w="44" w:type="dxa"/>
        </w:trPr>
        <w:tc>
          <w:tcPr>
            <w:tcW w:w="629" w:type="dxa"/>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(1)</w:t>
            </w:r>
          </w:p>
        </w:tc>
        <w:tc>
          <w:tcPr>
            <w:tcW w:w="4110" w:type="dxa"/>
            <w:gridSpan w:val="11"/>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4258" w:type="dxa"/>
            <w:gridSpan w:val="15"/>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r>
      <w:tr w:rsidR="0037443D" w:rsidRPr="0037443D">
        <w:trPr>
          <w:gridAfter w:val="2"/>
          <w:wAfter w:w="44" w:type="dxa"/>
        </w:trPr>
        <w:tc>
          <w:tcPr>
            <w:tcW w:w="629" w:type="dxa"/>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r w:rsidRPr="0037443D">
              <w:rPr>
                <w:rFonts w:ascii="Times New Roman" w:hAnsi="Times New Roman" w:cs="Times New Roman"/>
                <w:sz w:val="16"/>
                <w:szCs w:val="16"/>
              </w:rPr>
              <w:t>\</w:t>
            </w:r>
          </w:p>
        </w:tc>
        <w:tc>
          <w:tcPr>
            <w:tcW w:w="4110" w:type="dxa"/>
            <w:gridSpan w:val="11"/>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4258" w:type="dxa"/>
            <w:gridSpan w:val="15"/>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r>
      <w:tr w:rsidR="0037443D" w:rsidRPr="0037443D">
        <w:trPr>
          <w:gridAfter w:val="2"/>
          <w:wAfter w:w="44" w:type="dxa"/>
        </w:trPr>
        <w:tc>
          <w:tcPr>
            <w:tcW w:w="3419" w:type="dxa"/>
            <w:gridSpan w:val="8"/>
            <w:vMerge w:val="restart"/>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ПЛАТЕЖНОЕ ПОРУЧЕНИЕ N</w:t>
            </w:r>
          </w:p>
        </w:tc>
        <w:tc>
          <w:tcPr>
            <w:tcW w:w="1320" w:type="dxa"/>
            <w:gridSpan w:val="4"/>
            <w:vMerge w:val="restart"/>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r w:rsidRPr="0037443D">
              <w:rPr>
                <w:rFonts w:ascii="Times New Roman" w:hAnsi="Times New Roman" w:cs="Times New Roman"/>
                <w:sz w:val="16"/>
                <w:szCs w:val="16"/>
              </w:rPr>
              <w:t>(3)</w:t>
            </w:r>
          </w:p>
        </w:tc>
        <w:tc>
          <w:tcPr>
            <w:tcW w:w="1077" w:type="dxa"/>
            <w:gridSpan w:val="3"/>
            <w:tcBorders>
              <w:bottom w:val="single" w:sz="4" w:space="0" w:color="auto"/>
            </w:tcBorders>
            <w:vAlign w:val="center"/>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r w:rsidRPr="0037443D">
              <w:rPr>
                <w:rFonts w:ascii="Times New Roman" w:hAnsi="Times New Roman" w:cs="Times New Roman"/>
                <w:sz w:val="16"/>
                <w:szCs w:val="16"/>
              </w:rPr>
              <w:t>(4)</w:t>
            </w:r>
          </w:p>
        </w:tc>
        <w:tc>
          <w:tcPr>
            <w:tcW w:w="397" w:type="dxa"/>
            <w:gridSpan w:val="2"/>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1701" w:type="dxa"/>
            <w:gridSpan w:val="5"/>
            <w:tcBorders>
              <w:bottom w:val="single" w:sz="4" w:space="0" w:color="auto"/>
            </w:tcBorders>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r w:rsidRPr="0037443D">
              <w:rPr>
                <w:rFonts w:ascii="Times New Roman" w:hAnsi="Times New Roman" w:cs="Times New Roman"/>
                <w:sz w:val="16"/>
                <w:szCs w:val="16"/>
              </w:rPr>
              <w:t>(5)</w:t>
            </w:r>
          </w:p>
        </w:tc>
        <w:tc>
          <w:tcPr>
            <w:tcW w:w="346" w:type="dxa"/>
            <w:gridSpan w:val="3"/>
            <w:tcBorders>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737" w:type="dxa"/>
            <w:gridSpan w:val="2"/>
            <w:tcBorders>
              <w:top w:val="single" w:sz="4" w:space="0" w:color="auto"/>
              <w:left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r w:rsidRPr="0037443D">
              <w:rPr>
                <w:rFonts w:ascii="Times New Roman" w:hAnsi="Times New Roman" w:cs="Times New Roman"/>
                <w:sz w:val="16"/>
                <w:szCs w:val="16"/>
              </w:rPr>
              <w:t>(101)</w:t>
            </w:r>
          </w:p>
        </w:tc>
      </w:tr>
      <w:tr w:rsidR="0037443D" w:rsidRPr="0037443D">
        <w:trPr>
          <w:gridAfter w:val="2"/>
          <w:wAfter w:w="44" w:type="dxa"/>
        </w:trPr>
        <w:tc>
          <w:tcPr>
            <w:tcW w:w="3419" w:type="dxa"/>
            <w:gridSpan w:val="8"/>
            <w:vMerge/>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p>
        </w:tc>
        <w:tc>
          <w:tcPr>
            <w:tcW w:w="1320" w:type="dxa"/>
            <w:gridSpan w:val="4"/>
            <w:vMerge/>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p>
        </w:tc>
        <w:tc>
          <w:tcPr>
            <w:tcW w:w="1077" w:type="dxa"/>
            <w:gridSpan w:val="3"/>
            <w:tcBorders>
              <w:top w:val="single" w:sz="4" w:space="0" w:color="auto"/>
            </w:tcBorders>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r w:rsidRPr="0037443D">
              <w:rPr>
                <w:rFonts w:ascii="Times New Roman" w:hAnsi="Times New Roman" w:cs="Times New Roman"/>
                <w:sz w:val="16"/>
                <w:szCs w:val="16"/>
              </w:rPr>
              <w:t>Дата</w:t>
            </w:r>
          </w:p>
        </w:tc>
        <w:tc>
          <w:tcPr>
            <w:tcW w:w="397" w:type="dxa"/>
            <w:gridSpan w:val="2"/>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1701" w:type="dxa"/>
            <w:gridSpan w:val="5"/>
            <w:tcBorders>
              <w:top w:val="single" w:sz="4" w:space="0" w:color="auto"/>
            </w:tcBorders>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r w:rsidRPr="0037443D">
              <w:rPr>
                <w:rFonts w:ascii="Times New Roman" w:hAnsi="Times New Roman" w:cs="Times New Roman"/>
                <w:sz w:val="16"/>
                <w:szCs w:val="16"/>
              </w:rPr>
              <w:t>Вид платежа</w:t>
            </w:r>
          </w:p>
        </w:tc>
        <w:tc>
          <w:tcPr>
            <w:tcW w:w="346" w:type="dxa"/>
            <w:gridSpan w:val="3"/>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737" w:type="dxa"/>
            <w:gridSpan w:val="2"/>
            <w:tcBorders>
              <w:top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r>
      <w:tr w:rsidR="0037443D" w:rsidRPr="0037443D">
        <w:trPr>
          <w:gridAfter w:val="3"/>
          <w:wAfter w:w="52" w:type="dxa"/>
        </w:trPr>
        <w:tc>
          <w:tcPr>
            <w:tcW w:w="1363" w:type="dxa"/>
            <w:gridSpan w:val="2"/>
            <w:tcBorders>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Сумма прописью</w:t>
            </w:r>
          </w:p>
        </w:tc>
        <w:tc>
          <w:tcPr>
            <w:tcW w:w="7626" w:type="dxa"/>
            <w:gridSpan w:val="24"/>
            <w:tcBorders>
              <w:lef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(6)</w:t>
            </w:r>
          </w:p>
        </w:tc>
      </w:tr>
      <w:tr w:rsidR="0037443D" w:rsidRPr="0037443D">
        <w:trPr>
          <w:gridAfter w:val="3"/>
          <w:wAfter w:w="52" w:type="dxa"/>
        </w:trPr>
        <w:tc>
          <w:tcPr>
            <w:tcW w:w="1363" w:type="dxa"/>
            <w:gridSpan w:val="2"/>
            <w:tcBorders>
              <w:bottom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7626" w:type="dxa"/>
            <w:gridSpan w:val="24"/>
            <w:tcBorders>
              <w:left w:val="single" w:sz="4" w:space="0" w:color="auto"/>
              <w:bottom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r>
      <w:tr w:rsidR="0037443D" w:rsidRPr="0037443D">
        <w:trPr>
          <w:gridAfter w:val="3"/>
          <w:wAfter w:w="52" w:type="dxa"/>
        </w:trPr>
        <w:tc>
          <w:tcPr>
            <w:tcW w:w="2542" w:type="dxa"/>
            <w:gridSpan w:val="5"/>
            <w:tcBorders>
              <w:top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ИНН (60)</w:t>
            </w:r>
          </w:p>
        </w:tc>
        <w:tc>
          <w:tcPr>
            <w:tcW w:w="2176" w:type="dxa"/>
            <w:gridSpan w:val="6"/>
            <w:tcBorders>
              <w:top w:val="single" w:sz="4" w:space="0" w:color="auto"/>
              <w:left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КПП (102)</w:t>
            </w:r>
          </w:p>
        </w:tc>
        <w:tc>
          <w:tcPr>
            <w:tcW w:w="1134" w:type="dxa"/>
            <w:gridSpan w:val="5"/>
            <w:vMerge w:val="restart"/>
            <w:tcBorders>
              <w:top w:val="single" w:sz="4" w:space="0" w:color="auto"/>
              <w:left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Сумма</w:t>
            </w:r>
          </w:p>
        </w:tc>
        <w:tc>
          <w:tcPr>
            <w:tcW w:w="3137" w:type="dxa"/>
            <w:gridSpan w:val="10"/>
            <w:vMerge w:val="restart"/>
            <w:tcBorders>
              <w:top w:val="single" w:sz="4" w:space="0" w:color="auto"/>
              <w:left w:val="single" w:sz="4" w:space="0" w:color="auto"/>
              <w:bottom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(7)</w:t>
            </w:r>
          </w:p>
        </w:tc>
      </w:tr>
      <w:tr w:rsidR="0037443D" w:rsidRPr="0037443D" w:rsidTr="0037443D">
        <w:trPr>
          <w:gridAfter w:val="3"/>
          <w:wAfter w:w="52" w:type="dxa"/>
          <w:trHeight w:val="253"/>
        </w:trPr>
        <w:tc>
          <w:tcPr>
            <w:tcW w:w="4718" w:type="dxa"/>
            <w:gridSpan w:val="11"/>
            <w:vMerge w:val="restart"/>
            <w:tcBorders>
              <w:top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(8)</w:t>
            </w:r>
          </w:p>
        </w:tc>
        <w:tc>
          <w:tcPr>
            <w:tcW w:w="1134" w:type="dxa"/>
            <w:gridSpan w:val="5"/>
            <w:vMerge/>
            <w:tcBorders>
              <w:top w:val="single" w:sz="4" w:space="0" w:color="auto"/>
              <w:left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3137" w:type="dxa"/>
            <w:gridSpan w:val="10"/>
            <w:vMerge/>
            <w:tcBorders>
              <w:top w:val="single" w:sz="4" w:space="0" w:color="auto"/>
              <w:left w:val="single" w:sz="4" w:space="0" w:color="auto"/>
              <w:bottom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r>
      <w:tr w:rsidR="0037443D" w:rsidRPr="0037443D">
        <w:trPr>
          <w:gridAfter w:val="3"/>
          <w:wAfter w:w="52" w:type="dxa"/>
        </w:trPr>
        <w:tc>
          <w:tcPr>
            <w:tcW w:w="4718" w:type="dxa"/>
            <w:gridSpan w:val="11"/>
            <w:vMerge/>
            <w:tcBorders>
              <w:top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1134" w:type="dxa"/>
            <w:gridSpan w:val="5"/>
            <w:tcBorders>
              <w:top w:val="single" w:sz="4" w:space="0" w:color="auto"/>
              <w:left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Сч. N</w:t>
            </w:r>
          </w:p>
        </w:tc>
        <w:tc>
          <w:tcPr>
            <w:tcW w:w="3137" w:type="dxa"/>
            <w:gridSpan w:val="10"/>
            <w:vMerge w:val="restart"/>
            <w:tcBorders>
              <w:top w:val="single" w:sz="4" w:space="0" w:color="auto"/>
              <w:left w:val="single" w:sz="4" w:space="0" w:color="auto"/>
              <w:bottom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(9)</w:t>
            </w:r>
          </w:p>
        </w:tc>
      </w:tr>
      <w:tr w:rsidR="0037443D" w:rsidRPr="0037443D" w:rsidTr="0037443D">
        <w:trPr>
          <w:gridAfter w:val="3"/>
          <w:wAfter w:w="52" w:type="dxa"/>
          <w:trHeight w:val="20"/>
        </w:trPr>
        <w:tc>
          <w:tcPr>
            <w:tcW w:w="4718" w:type="dxa"/>
            <w:gridSpan w:val="11"/>
            <w:tcBorders>
              <w:bottom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Плательщик</w:t>
            </w:r>
          </w:p>
        </w:tc>
        <w:tc>
          <w:tcPr>
            <w:tcW w:w="1134" w:type="dxa"/>
            <w:gridSpan w:val="5"/>
            <w:tcBorders>
              <w:left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3137" w:type="dxa"/>
            <w:gridSpan w:val="10"/>
            <w:vMerge/>
            <w:tcBorders>
              <w:top w:val="single" w:sz="4" w:space="0" w:color="auto"/>
              <w:left w:val="single" w:sz="4" w:space="0" w:color="auto"/>
              <w:bottom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r>
      <w:tr w:rsidR="0037443D" w:rsidRPr="0037443D">
        <w:trPr>
          <w:gridAfter w:val="3"/>
          <w:wAfter w:w="52" w:type="dxa"/>
        </w:trPr>
        <w:tc>
          <w:tcPr>
            <w:tcW w:w="4718" w:type="dxa"/>
            <w:gridSpan w:val="11"/>
            <w:tcBorders>
              <w:top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(10)</w:t>
            </w:r>
          </w:p>
        </w:tc>
        <w:tc>
          <w:tcPr>
            <w:tcW w:w="1134" w:type="dxa"/>
            <w:gridSpan w:val="5"/>
            <w:tcBorders>
              <w:top w:val="single" w:sz="4" w:space="0" w:color="auto"/>
              <w:left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БИК</w:t>
            </w:r>
          </w:p>
        </w:tc>
        <w:tc>
          <w:tcPr>
            <w:tcW w:w="3137" w:type="dxa"/>
            <w:gridSpan w:val="10"/>
            <w:tcBorders>
              <w:top w:val="single" w:sz="4" w:space="0" w:color="auto"/>
              <w:left w:val="single" w:sz="4" w:space="0" w:color="auto"/>
            </w:tcBorders>
          </w:tcPr>
          <w:p w:rsidR="0037443D" w:rsidRPr="0037443D" w:rsidRDefault="0037443D">
            <w:pPr>
              <w:autoSpaceDE w:val="0"/>
              <w:autoSpaceDN w:val="0"/>
              <w:adjustRightInd w:val="0"/>
              <w:spacing w:after="0" w:line="240" w:lineRule="auto"/>
              <w:jc w:val="both"/>
              <w:rPr>
                <w:rFonts w:ascii="Times New Roman" w:hAnsi="Times New Roman" w:cs="Times New Roman"/>
                <w:sz w:val="16"/>
                <w:szCs w:val="16"/>
              </w:rPr>
            </w:pPr>
            <w:r w:rsidRPr="0037443D">
              <w:rPr>
                <w:rFonts w:ascii="Times New Roman" w:hAnsi="Times New Roman" w:cs="Times New Roman"/>
                <w:sz w:val="16"/>
                <w:szCs w:val="16"/>
              </w:rPr>
              <w:t>(11)</w:t>
            </w:r>
          </w:p>
        </w:tc>
      </w:tr>
      <w:tr w:rsidR="0037443D" w:rsidRPr="0037443D">
        <w:trPr>
          <w:gridAfter w:val="3"/>
          <w:wAfter w:w="52" w:type="dxa"/>
        </w:trPr>
        <w:tc>
          <w:tcPr>
            <w:tcW w:w="4718" w:type="dxa"/>
            <w:gridSpan w:val="11"/>
            <w:vMerge w:val="restart"/>
            <w:tcBorders>
              <w:bottom w:val="single" w:sz="4" w:space="0" w:color="auto"/>
              <w:right w:val="single" w:sz="4" w:space="0" w:color="auto"/>
            </w:tcBorders>
            <w:vAlign w:val="bottom"/>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Банк плательщика</w:t>
            </w:r>
          </w:p>
        </w:tc>
        <w:tc>
          <w:tcPr>
            <w:tcW w:w="1134" w:type="dxa"/>
            <w:gridSpan w:val="5"/>
            <w:tcBorders>
              <w:top w:val="single" w:sz="4" w:space="0" w:color="auto"/>
              <w:left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Сч. N</w:t>
            </w:r>
          </w:p>
        </w:tc>
        <w:tc>
          <w:tcPr>
            <w:tcW w:w="3137" w:type="dxa"/>
            <w:gridSpan w:val="10"/>
            <w:vMerge w:val="restart"/>
            <w:tcBorders>
              <w:left w:val="single" w:sz="4" w:space="0" w:color="auto"/>
              <w:bottom w:val="single" w:sz="4" w:space="0" w:color="auto"/>
            </w:tcBorders>
          </w:tcPr>
          <w:p w:rsidR="0037443D" w:rsidRPr="0037443D" w:rsidRDefault="0037443D">
            <w:pPr>
              <w:autoSpaceDE w:val="0"/>
              <w:autoSpaceDN w:val="0"/>
              <w:adjustRightInd w:val="0"/>
              <w:spacing w:after="0" w:line="240" w:lineRule="auto"/>
              <w:jc w:val="both"/>
              <w:rPr>
                <w:rFonts w:ascii="Times New Roman" w:hAnsi="Times New Roman" w:cs="Times New Roman"/>
                <w:sz w:val="16"/>
                <w:szCs w:val="16"/>
              </w:rPr>
            </w:pPr>
            <w:r w:rsidRPr="0037443D">
              <w:rPr>
                <w:rFonts w:ascii="Times New Roman" w:hAnsi="Times New Roman" w:cs="Times New Roman"/>
                <w:sz w:val="16"/>
                <w:szCs w:val="16"/>
              </w:rPr>
              <w:t>(12)</w:t>
            </w:r>
          </w:p>
        </w:tc>
      </w:tr>
      <w:tr w:rsidR="0037443D" w:rsidRPr="0037443D" w:rsidTr="0037443D">
        <w:trPr>
          <w:gridAfter w:val="3"/>
          <w:wAfter w:w="52" w:type="dxa"/>
          <w:trHeight w:val="20"/>
        </w:trPr>
        <w:tc>
          <w:tcPr>
            <w:tcW w:w="4718" w:type="dxa"/>
            <w:gridSpan w:val="11"/>
            <w:vMerge/>
            <w:tcBorders>
              <w:bottom w:val="single" w:sz="4" w:space="0" w:color="auto"/>
              <w:right w:val="single" w:sz="4" w:space="0" w:color="auto"/>
            </w:tcBorders>
          </w:tcPr>
          <w:p w:rsidR="0037443D" w:rsidRPr="0037443D" w:rsidRDefault="0037443D">
            <w:pPr>
              <w:autoSpaceDE w:val="0"/>
              <w:autoSpaceDN w:val="0"/>
              <w:adjustRightInd w:val="0"/>
              <w:spacing w:after="0" w:line="240" w:lineRule="auto"/>
              <w:jc w:val="both"/>
              <w:rPr>
                <w:rFonts w:ascii="Times New Roman" w:hAnsi="Times New Roman" w:cs="Times New Roman"/>
                <w:sz w:val="16"/>
                <w:szCs w:val="16"/>
              </w:rPr>
            </w:pPr>
          </w:p>
        </w:tc>
        <w:tc>
          <w:tcPr>
            <w:tcW w:w="1134" w:type="dxa"/>
            <w:gridSpan w:val="5"/>
            <w:tcBorders>
              <w:left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3137" w:type="dxa"/>
            <w:gridSpan w:val="10"/>
            <w:vMerge/>
            <w:tcBorders>
              <w:left w:val="single" w:sz="4" w:space="0" w:color="auto"/>
              <w:bottom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r>
      <w:tr w:rsidR="0037443D" w:rsidRPr="0037443D">
        <w:trPr>
          <w:gridAfter w:val="3"/>
          <w:wAfter w:w="52" w:type="dxa"/>
        </w:trPr>
        <w:tc>
          <w:tcPr>
            <w:tcW w:w="4718" w:type="dxa"/>
            <w:gridSpan w:val="11"/>
            <w:tcBorders>
              <w:top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(13)</w:t>
            </w:r>
          </w:p>
        </w:tc>
        <w:tc>
          <w:tcPr>
            <w:tcW w:w="1134" w:type="dxa"/>
            <w:gridSpan w:val="5"/>
            <w:tcBorders>
              <w:top w:val="single" w:sz="4" w:space="0" w:color="auto"/>
              <w:left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БИК</w:t>
            </w:r>
          </w:p>
        </w:tc>
        <w:tc>
          <w:tcPr>
            <w:tcW w:w="3137" w:type="dxa"/>
            <w:gridSpan w:val="10"/>
            <w:tcBorders>
              <w:top w:val="single" w:sz="4" w:space="0" w:color="auto"/>
              <w:lef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(14)</w:t>
            </w:r>
          </w:p>
        </w:tc>
      </w:tr>
      <w:tr w:rsidR="0037443D" w:rsidRPr="0037443D">
        <w:trPr>
          <w:gridAfter w:val="3"/>
          <w:wAfter w:w="52" w:type="dxa"/>
        </w:trPr>
        <w:tc>
          <w:tcPr>
            <w:tcW w:w="4718" w:type="dxa"/>
            <w:gridSpan w:val="11"/>
            <w:vMerge w:val="restart"/>
            <w:tcBorders>
              <w:bottom w:val="single" w:sz="4" w:space="0" w:color="auto"/>
              <w:right w:val="single" w:sz="4" w:space="0" w:color="auto"/>
            </w:tcBorders>
            <w:vAlign w:val="bottom"/>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Банк получателя</w:t>
            </w:r>
          </w:p>
        </w:tc>
        <w:tc>
          <w:tcPr>
            <w:tcW w:w="1134" w:type="dxa"/>
            <w:gridSpan w:val="5"/>
            <w:tcBorders>
              <w:top w:val="single" w:sz="4" w:space="0" w:color="auto"/>
              <w:left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Сч. N</w:t>
            </w:r>
          </w:p>
        </w:tc>
        <w:tc>
          <w:tcPr>
            <w:tcW w:w="3137" w:type="dxa"/>
            <w:gridSpan w:val="10"/>
            <w:vMerge w:val="restart"/>
            <w:tcBorders>
              <w:left w:val="single" w:sz="4" w:space="0" w:color="auto"/>
            </w:tcBorders>
          </w:tcPr>
          <w:p w:rsidR="0037443D" w:rsidRPr="0037443D" w:rsidRDefault="0037443D">
            <w:pPr>
              <w:autoSpaceDE w:val="0"/>
              <w:autoSpaceDN w:val="0"/>
              <w:adjustRightInd w:val="0"/>
              <w:spacing w:after="0" w:line="240" w:lineRule="auto"/>
              <w:jc w:val="both"/>
              <w:rPr>
                <w:rFonts w:ascii="Times New Roman" w:hAnsi="Times New Roman" w:cs="Times New Roman"/>
                <w:sz w:val="16"/>
                <w:szCs w:val="16"/>
              </w:rPr>
            </w:pPr>
            <w:r w:rsidRPr="0037443D">
              <w:rPr>
                <w:rFonts w:ascii="Times New Roman" w:hAnsi="Times New Roman" w:cs="Times New Roman"/>
                <w:sz w:val="16"/>
                <w:szCs w:val="16"/>
              </w:rPr>
              <w:t>(15)</w:t>
            </w:r>
          </w:p>
        </w:tc>
      </w:tr>
      <w:tr w:rsidR="0037443D" w:rsidRPr="0037443D" w:rsidTr="0037443D">
        <w:trPr>
          <w:gridAfter w:val="3"/>
          <w:wAfter w:w="52" w:type="dxa"/>
          <w:trHeight w:val="20"/>
        </w:trPr>
        <w:tc>
          <w:tcPr>
            <w:tcW w:w="4718" w:type="dxa"/>
            <w:gridSpan w:val="11"/>
            <w:vMerge/>
            <w:tcBorders>
              <w:bottom w:val="single" w:sz="4" w:space="0" w:color="auto"/>
              <w:right w:val="single" w:sz="4" w:space="0" w:color="auto"/>
            </w:tcBorders>
          </w:tcPr>
          <w:p w:rsidR="0037443D" w:rsidRPr="0037443D" w:rsidRDefault="0037443D">
            <w:pPr>
              <w:autoSpaceDE w:val="0"/>
              <w:autoSpaceDN w:val="0"/>
              <w:adjustRightInd w:val="0"/>
              <w:spacing w:after="0" w:line="240" w:lineRule="auto"/>
              <w:jc w:val="both"/>
              <w:rPr>
                <w:rFonts w:ascii="Times New Roman" w:hAnsi="Times New Roman" w:cs="Times New Roman"/>
                <w:sz w:val="16"/>
                <w:szCs w:val="16"/>
              </w:rPr>
            </w:pPr>
          </w:p>
        </w:tc>
        <w:tc>
          <w:tcPr>
            <w:tcW w:w="1134" w:type="dxa"/>
            <w:gridSpan w:val="5"/>
            <w:tcBorders>
              <w:left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3137" w:type="dxa"/>
            <w:gridSpan w:val="10"/>
            <w:vMerge/>
            <w:tcBorders>
              <w:lef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r>
      <w:tr w:rsidR="0037443D" w:rsidRPr="0037443D">
        <w:trPr>
          <w:gridAfter w:val="3"/>
          <w:wAfter w:w="52" w:type="dxa"/>
        </w:trPr>
        <w:tc>
          <w:tcPr>
            <w:tcW w:w="2542" w:type="dxa"/>
            <w:gridSpan w:val="5"/>
            <w:tcBorders>
              <w:top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ИНН (61)</w:t>
            </w:r>
          </w:p>
        </w:tc>
        <w:tc>
          <w:tcPr>
            <w:tcW w:w="2176" w:type="dxa"/>
            <w:gridSpan w:val="6"/>
            <w:tcBorders>
              <w:top w:val="single" w:sz="4" w:space="0" w:color="auto"/>
              <w:left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КПП (103)</w:t>
            </w:r>
          </w:p>
        </w:tc>
        <w:tc>
          <w:tcPr>
            <w:tcW w:w="1134" w:type="dxa"/>
            <w:gridSpan w:val="5"/>
            <w:vMerge w:val="restart"/>
            <w:tcBorders>
              <w:top w:val="single" w:sz="4" w:space="0" w:color="auto"/>
              <w:left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Сч. N</w:t>
            </w:r>
          </w:p>
        </w:tc>
        <w:tc>
          <w:tcPr>
            <w:tcW w:w="3137" w:type="dxa"/>
            <w:gridSpan w:val="10"/>
            <w:vMerge w:val="restart"/>
            <w:tcBorders>
              <w:left w:val="single" w:sz="4" w:space="0" w:color="auto"/>
              <w:bottom w:val="single" w:sz="4" w:space="0" w:color="auto"/>
            </w:tcBorders>
          </w:tcPr>
          <w:p w:rsidR="0037443D" w:rsidRPr="0037443D" w:rsidRDefault="0037443D">
            <w:pPr>
              <w:autoSpaceDE w:val="0"/>
              <w:autoSpaceDN w:val="0"/>
              <w:adjustRightInd w:val="0"/>
              <w:spacing w:after="0" w:line="240" w:lineRule="auto"/>
              <w:jc w:val="both"/>
              <w:rPr>
                <w:rFonts w:ascii="Times New Roman" w:hAnsi="Times New Roman" w:cs="Times New Roman"/>
                <w:sz w:val="16"/>
                <w:szCs w:val="16"/>
              </w:rPr>
            </w:pPr>
            <w:r w:rsidRPr="0037443D">
              <w:rPr>
                <w:rFonts w:ascii="Times New Roman" w:hAnsi="Times New Roman" w:cs="Times New Roman"/>
                <w:sz w:val="16"/>
                <w:szCs w:val="16"/>
              </w:rPr>
              <w:t>(17)</w:t>
            </w:r>
          </w:p>
        </w:tc>
      </w:tr>
      <w:tr w:rsidR="0037443D" w:rsidRPr="0037443D" w:rsidTr="0037443D">
        <w:trPr>
          <w:gridAfter w:val="3"/>
          <w:wAfter w:w="52" w:type="dxa"/>
          <w:trHeight w:val="253"/>
        </w:trPr>
        <w:tc>
          <w:tcPr>
            <w:tcW w:w="4718" w:type="dxa"/>
            <w:gridSpan w:val="11"/>
            <w:vMerge w:val="restart"/>
            <w:tcBorders>
              <w:top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(16)</w:t>
            </w:r>
          </w:p>
        </w:tc>
        <w:tc>
          <w:tcPr>
            <w:tcW w:w="1134" w:type="dxa"/>
            <w:gridSpan w:val="5"/>
            <w:vMerge/>
            <w:tcBorders>
              <w:top w:val="single" w:sz="4" w:space="0" w:color="auto"/>
              <w:left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3137" w:type="dxa"/>
            <w:gridSpan w:val="10"/>
            <w:vMerge/>
            <w:tcBorders>
              <w:left w:val="single" w:sz="4" w:space="0" w:color="auto"/>
              <w:bottom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r>
      <w:tr w:rsidR="0037443D" w:rsidRPr="0037443D">
        <w:trPr>
          <w:gridAfter w:val="3"/>
          <w:wAfter w:w="52" w:type="dxa"/>
        </w:trPr>
        <w:tc>
          <w:tcPr>
            <w:tcW w:w="4718" w:type="dxa"/>
            <w:gridSpan w:val="11"/>
            <w:vMerge/>
            <w:tcBorders>
              <w:top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1134" w:type="dxa"/>
            <w:gridSpan w:val="5"/>
            <w:tcBorders>
              <w:top w:val="single" w:sz="4" w:space="0" w:color="auto"/>
              <w:left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Вид оп.</w:t>
            </w:r>
          </w:p>
        </w:tc>
        <w:tc>
          <w:tcPr>
            <w:tcW w:w="680" w:type="dxa"/>
            <w:gridSpan w:val="3"/>
            <w:tcBorders>
              <w:top w:val="single" w:sz="4" w:space="0" w:color="auto"/>
              <w:left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(18)</w:t>
            </w:r>
          </w:p>
        </w:tc>
        <w:tc>
          <w:tcPr>
            <w:tcW w:w="1417" w:type="dxa"/>
            <w:gridSpan w:val="4"/>
            <w:tcBorders>
              <w:top w:val="single" w:sz="4" w:space="0" w:color="auto"/>
              <w:left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Срок плат.</w:t>
            </w:r>
          </w:p>
        </w:tc>
        <w:tc>
          <w:tcPr>
            <w:tcW w:w="1040" w:type="dxa"/>
            <w:gridSpan w:val="3"/>
            <w:tcBorders>
              <w:top w:val="single" w:sz="4" w:space="0" w:color="auto"/>
              <w:lef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(19)</w:t>
            </w:r>
          </w:p>
        </w:tc>
      </w:tr>
      <w:tr w:rsidR="0037443D" w:rsidRPr="0037443D">
        <w:trPr>
          <w:gridAfter w:val="3"/>
          <w:wAfter w:w="52" w:type="dxa"/>
        </w:trPr>
        <w:tc>
          <w:tcPr>
            <w:tcW w:w="4718" w:type="dxa"/>
            <w:gridSpan w:val="11"/>
            <w:vMerge w:val="restart"/>
            <w:tcBorders>
              <w:bottom w:val="single" w:sz="4" w:space="0" w:color="auto"/>
              <w:right w:val="single" w:sz="4" w:space="0" w:color="auto"/>
            </w:tcBorders>
            <w:vAlign w:val="bottom"/>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Получатель</w:t>
            </w:r>
          </w:p>
        </w:tc>
        <w:tc>
          <w:tcPr>
            <w:tcW w:w="1134" w:type="dxa"/>
            <w:gridSpan w:val="5"/>
            <w:tcBorders>
              <w:top w:val="single" w:sz="4" w:space="0" w:color="auto"/>
              <w:left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Наз. пл.</w:t>
            </w:r>
          </w:p>
        </w:tc>
        <w:tc>
          <w:tcPr>
            <w:tcW w:w="680" w:type="dxa"/>
            <w:gridSpan w:val="3"/>
            <w:tcBorders>
              <w:left w:val="single" w:sz="4" w:space="0" w:color="auto"/>
              <w:right w:val="single" w:sz="4" w:space="0" w:color="auto"/>
            </w:tcBorders>
          </w:tcPr>
          <w:p w:rsidR="0037443D" w:rsidRPr="0037443D" w:rsidRDefault="0037443D">
            <w:pPr>
              <w:autoSpaceDE w:val="0"/>
              <w:autoSpaceDN w:val="0"/>
              <w:adjustRightInd w:val="0"/>
              <w:spacing w:after="0" w:line="240" w:lineRule="auto"/>
              <w:jc w:val="both"/>
              <w:rPr>
                <w:rFonts w:ascii="Times New Roman" w:hAnsi="Times New Roman" w:cs="Times New Roman"/>
                <w:sz w:val="16"/>
                <w:szCs w:val="16"/>
              </w:rPr>
            </w:pPr>
            <w:r w:rsidRPr="0037443D">
              <w:rPr>
                <w:rFonts w:ascii="Times New Roman" w:hAnsi="Times New Roman" w:cs="Times New Roman"/>
                <w:sz w:val="16"/>
                <w:szCs w:val="16"/>
              </w:rPr>
              <w:t>(20)</w:t>
            </w:r>
          </w:p>
        </w:tc>
        <w:tc>
          <w:tcPr>
            <w:tcW w:w="1417" w:type="dxa"/>
            <w:gridSpan w:val="4"/>
            <w:tcBorders>
              <w:top w:val="single" w:sz="4" w:space="0" w:color="auto"/>
              <w:left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Очер. плат.</w:t>
            </w:r>
          </w:p>
        </w:tc>
        <w:tc>
          <w:tcPr>
            <w:tcW w:w="1040" w:type="dxa"/>
            <w:gridSpan w:val="3"/>
            <w:tcBorders>
              <w:left w:val="single" w:sz="4" w:space="0" w:color="auto"/>
            </w:tcBorders>
          </w:tcPr>
          <w:p w:rsidR="0037443D" w:rsidRPr="0037443D" w:rsidRDefault="0037443D">
            <w:pPr>
              <w:autoSpaceDE w:val="0"/>
              <w:autoSpaceDN w:val="0"/>
              <w:adjustRightInd w:val="0"/>
              <w:spacing w:after="0" w:line="240" w:lineRule="auto"/>
              <w:jc w:val="both"/>
              <w:rPr>
                <w:rFonts w:ascii="Times New Roman" w:hAnsi="Times New Roman" w:cs="Times New Roman"/>
                <w:sz w:val="16"/>
                <w:szCs w:val="16"/>
              </w:rPr>
            </w:pPr>
            <w:r w:rsidRPr="0037443D">
              <w:rPr>
                <w:rFonts w:ascii="Times New Roman" w:hAnsi="Times New Roman" w:cs="Times New Roman"/>
                <w:sz w:val="16"/>
                <w:szCs w:val="16"/>
              </w:rPr>
              <w:t>(21)</w:t>
            </w:r>
          </w:p>
        </w:tc>
      </w:tr>
      <w:tr w:rsidR="0037443D" w:rsidRPr="0037443D">
        <w:trPr>
          <w:gridAfter w:val="3"/>
          <w:wAfter w:w="52" w:type="dxa"/>
        </w:trPr>
        <w:tc>
          <w:tcPr>
            <w:tcW w:w="4718" w:type="dxa"/>
            <w:gridSpan w:val="11"/>
            <w:vMerge/>
            <w:tcBorders>
              <w:bottom w:val="single" w:sz="4" w:space="0" w:color="auto"/>
              <w:right w:val="single" w:sz="4" w:space="0" w:color="auto"/>
            </w:tcBorders>
          </w:tcPr>
          <w:p w:rsidR="0037443D" w:rsidRPr="0037443D" w:rsidRDefault="0037443D">
            <w:pPr>
              <w:autoSpaceDE w:val="0"/>
              <w:autoSpaceDN w:val="0"/>
              <w:adjustRightInd w:val="0"/>
              <w:spacing w:after="0" w:line="240" w:lineRule="auto"/>
              <w:jc w:val="both"/>
              <w:rPr>
                <w:rFonts w:ascii="Times New Roman" w:hAnsi="Times New Roman" w:cs="Times New Roman"/>
                <w:sz w:val="16"/>
                <w:szCs w:val="16"/>
              </w:rPr>
            </w:pPr>
          </w:p>
        </w:tc>
        <w:tc>
          <w:tcPr>
            <w:tcW w:w="1134" w:type="dxa"/>
            <w:gridSpan w:val="5"/>
            <w:tcBorders>
              <w:top w:val="single" w:sz="4" w:space="0" w:color="auto"/>
              <w:left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Код</w:t>
            </w:r>
          </w:p>
        </w:tc>
        <w:tc>
          <w:tcPr>
            <w:tcW w:w="680" w:type="dxa"/>
            <w:gridSpan w:val="3"/>
            <w:tcBorders>
              <w:left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jc w:val="both"/>
              <w:rPr>
                <w:rFonts w:ascii="Times New Roman" w:hAnsi="Times New Roman" w:cs="Times New Roman"/>
                <w:sz w:val="16"/>
                <w:szCs w:val="16"/>
              </w:rPr>
            </w:pPr>
            <w:r w:rsidRPr="0037443D">
              <w:rPr>
                <w:rFonts w:ascii="Times New Roman" w:hAnsi="Times New Roman" w:cs="Times New Roman"/>
                <w:sz w:val="16"/>
                <w:szCs w:val="16"/>
              </w:rPr>
              <w:t>(22)</w:t>
            </w:r>
          </w:p>
        </w:tc>
        <w:tc>
          <w:tcPr>
            <w:tcW w:w="1417" w:type="dxa"/>
            <w:gridSpan w:val="4"/>
            <w:tcBorders>
              <w:top w:val="single" w:sz="4" w:space="0" w:color="auto"/>
              <w:left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Рез. поле</w:t>
            </w:r>
          </w:p>
        </w:tc>
        <w:tc>
          <w:tcPr>
            <w:tcW w:w="1040" w:type="dxa"/>
            <w:gridSpan w:val="3"/>
            <w:tcBorders>
              <w:left w:val="single" w:sz="4" w:space="0" w:color="auto"/>
              <w:bottom w:val="single" w:sz="4" w:space="0" w:color="auto"/>
            </w:tcBorders>
          </w:tcPr>
          <w:p w:rsidR="0037443D" w:rsidRPr="0037443D" w:rsidRDefault="0037443D">
            <w:pPr>
              <w:autoSpaceDE w:val="0"/>
              <w:autoSpaceDN w:val="0"/>
              <w:adjustRightInd w:val="0"/>
              <w:spacing w:after="0" w:line="240" w:lineRule="auto"/>
              <w:jc w:val="both"/>
              <w:rPr>
                <w:rFonts w:ascii="Times New Roman" w:hAnsi="Times New Roman" w:cs="Times New Roman"/>
                <w:sz w:val="16"/>
                <w:szCs w:val="16"/>
              </w:rPr>
            </w:pPr>
            <w:r w:rsidRPr="0037443D">
              <w:rPr>
                <w:rFonts w:ascii="Times New Roman" w:hAnsi="Times New Roman" w:cs="Times New Roman"/>
                <w:sz w:val="16"/>
                <w:szCs w:val="16"/>
              </w:rPr>
              <w:t>(23)</w:t>
            </w:r>
          </w:p>
        </w:tc>
      </w:tr>
      <w:tr w:rsidR="0037443D" w:rsidRPr="0037443D">
        <w:trPr>
          <w:gridAfter w:val="3"/>
          <w:wAfter w:w="52" w:type="dxa"/>
        </w:trPr>
        <w:tc>
          <w:tcPr>
            <w:tcW w:w="2202" w:type="dxa"/>
            <w:gridSpan w:val="3"/>
            <w:tcBorders>
              <w:top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r w:rsidRPr="0037443D">
              <w:rPr>
                <w:rFonts w:ascii="Times New Roman" w:hAnsi="Times New Roman" w:cs="Times New Roman"/>
                <w:sz w:val="16"/>
                <w:szCs w:val="16"/>
              </w:rPr>
              <w:t>(104)</w:t>
            </w:r>
          </w:p>
        </w:tc>
        <w:tc>
          <w:tcPr>
            <w:tcW w:w="1358" w:type="dxa"/>
            <w:gridSpan w:val="6"/>
            <w:tcBorders>
              <w:top w:val="single" w:sz="4" w:space="0" w:color="auto"/>
              <w:left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r w:rsidRPr="0037443D">
              <w:rPr>
                <w:rFonts w:ascii="Times New Roman" w:hAnsi="Times New Roman" w:cs="Times New Roman"/>
                <w:sz w:val="16"/>
                <w:szCs w:val="16"/>
              </w:rPr>
              <w:t>(105)</w:t>
            </w:r>
          </w:p>
        </w:tc>
        <w:tc>
          <w:tcPr>
            <w:tcW w:w="704" w:type="dxa"/>
            <w:tcBorders>
              <w:top w:val="single" w:sz="4" w:space="0" w:color="auto"/>
              <w:left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r w:rsidRPr="0037443D">
              <w:rPr>
                <w:rFonts w:ascii="Times New Roman" w:hAnsi="Times New Roman" w:cs="Times New Roman"/>
                <w:sz w:val="16"/>
                <w:szCs w:val="16"/>
              </w:rPr>
              <w:t>(106)</w:t>
            </w:r>
          </w:p>
        </w:tc>
        <w:tc>
          <w:tcPr>
            <w:tcW w:w="1185" w:type="dxa"/>
            <w:gridSpan w:val="3"/>
            <w:tcBorders>
              <w:top w:val="single" w:sz="4" w:space="0" w:color="auto"/>
              <w:left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r w:rsidRPr="0037443D">
              <w:rPr>
                <w:rFonts w:ascii="Times New Roman" w:hAnsi="Times New Roman" w:cs="Times New Roman"/>
                <w:sz w:val="16"/>
                <w:szCs w:val="16"/>
              </w:rPr>
              <w:t>(107)</w:t>
            </w:r>
          </w:p>
        </w:tc>
        <w:tc>
          <w:tcPr>
            <w:tcW w:w="1685" w:type="dxa"/>
            <w:gridSpan w:val="7"/>
            <w:tcBorders>
              <w:top w:val="single" w:sz="4" w:space="0" w:color="auto"/>
              <w:left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r w:rsidRPr="0037443D">
              <w:rPr>
                <w:rFonts w:ascii="Times New Roman" w:hAnsi="Times New Roman" w:cs="Times New Roman"/>
                <w:sz w:val="16"/>
                <w:szCs w:val="16"/>
              </w:rPr>
              <w:t>(108)</w:t>
            </w:r>
          </w:p>
        </w:tc>
        <w:tc>
          <w:tcPr>
            <w:tcW w:w="948" w:type="dxa"/>
            <w:gridSpan w:val="4"/>
            <w:tcBorders>
              <w:top w:val="single" w:sz="4" w:space="0" w:color="auto"/>
              <w:left w:val="single" w:sz="4" w:space="0" w:color="auto"/>
              <w:bottom w:val="single" w:sz="4" w:space="0" w:color="auto"/>
              <w:right w:val="single" w:sz="4" w:space="0" w:color="auto"/>
            </w:tcBorders>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r w:rsidRPr="0037443D">
              <w:rPr>
                <w:rFonts w:ascii="Times New Roman" w:hAnsi="Times New Roman" w:cs="Times New Roman"/>
                <w:sz w:val="16"/>
                <w:szCs w:val="16"/>
              </w:rPr>
              <w:t>(109)</w:t>
            </w:r>
          </w:p>
        </w:tc>
        <w:tc>
          <w:tcPr>
            <w:tcW w:w="907" w:type="dxa"/>
            <w:gridSpan w:val="2"/>
            <w:tcBorders>
              <w:top w:val="single" w:sz="4" w:space="0" w:color="auto"/>
              <w:left w:val="single" w:sz="4" w:space="0" w:color="auto"/>
              <w:bottom w:val="single" w:sz="4" w:space="0" w:color="auto"/>
            </w:tcBorders>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r w:rsidRPr="0037443D">
              <w:rPr>
                <w:rFonts w:ascii="Times New Roman" w:hAnsi="Times New Roman" w:cs="Times New Roman"/>
                <w:sz w:val="16"/>
                <w:szCs w:val="16"/>
              </w:rPr>
              <w:t>(110)</w:t>
            </w:r>
          </w:p>
        </w:tc>
      </w:tr>
      <w:tr w:rsidR="0037443D" w:rsidRPr="0037443D">
        <w:trPr>
          <w:gridAfter w:val="3"/>
          <w:wAfter w:w="52" w:type="dxa"/>
        </w:trPr>
        <w:tc>
          <w:tcPr>
            <w:tcW w:w="8989" w:type="dxa"/>
            <w:gridSpan w:val="26"/>
            <w:tcBorders>
              <w:top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(24)</w:t>
            </w:r>
          </w:p>
        </w:tc>
      </w:tr>
      <w:tr w:rsidR="0037443D" w:rsidRPr="0037443D">
        <w:tc>
          <w:tcPr>
            <w:tcW w:w="3010" w:type="dxa"/>
            <w:gridSpan w:val="7"/>
            <w:tcBorders>
              <w:bottom w:val="single" w:sz="4" w:space="0" w:color="auto"/>
            </w:tcBorders>
            <w:vAlign w:val="center"/>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r w:rsidRPr="0037443D">
              <w:rPr>
                <w:rFonts w:ascii="Times New Roman" w:hAnsi="Times New Roman" w:cs="Times New Roman"/>
                <w:sz w:val="16"/>
                <w:szCs w:val="16"/>
              </w:rPr>
              <w:t>Назначение платежа</w:t>
            </w:r>
          </w:p>
        </w:tc>
        <w:tc>
          <w:tcPr>
            <w:tcW w:w="3480" w:type="dxa"/>
            <w:gridSpan w:val="11"/>
            <w:tcBorders>
              <w:bottom w:val="single" w:sz="4" w:space="0" w:color="auto"/>
            </w:tcBorders>
            <w:vAlign w:val="bottom"/>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2551" w:type="dxa"/>
            <w:gridSpan w:val="11"/>
            <w:tcBorders>
              <w:bottom w:val="single" w:sz="4" w:space="0" w:color="auto"/>
            </w:tcBorders>
            <w:vAlign w:val="bottom"/>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r>
      <w:tr w:rsidR="0037443D" w:rsidRPr="0037443D">
        <w:tc>
          <w:tcPr>
            <w:tcW w:w="3010" w:type="dxa"/>
            <w:gridSpan w:val="7"/>
            <w:tcBorders>
              <w:top w:val="single" w:sz="4" w:space="0" w:color="auto"/>
            </w:tcBorders>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3480" w:type="dxa"/>
            <w:gridSpan w:val="11"/>
            <w:tcBorders>
              <w:top w:val="single" w:sz="4" w:space="0" w:color="auto"/>
            </w:tcBorders>
            <w:vAlign w:val="bottom"/>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r w:rsidRPr="0037443D">
              <w:rPr>
                <w:rFonts w:ascii="Times New Roman" w:hAnsi="Times New Roman" w:cs="Times New Roman"/>
                <w:sz w:val="16"/>
                <w:szCs w:val="16"/>
              </w:rPr>
              <w:t>Подписи</w:t>
            </w:r>
          </w:p>
        </w:tc>
        <w:tc>
          <w:tcPr>
            <w:tcW w:w="2551" w:type="dxa"/>
            <w:gridSpan w:val="11"/>
            <w:tcBorders>
              <w:top w:val="single" w:sz="4" w:space="0" w:color="auto"/>
            </w:tcBorders>
            <w:vAlign w:val="bottom"/>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r w:rsidRPr="0037443D">
              <w:rPr>
                <w:rFonts w:ascii="Times New Roman" w:hAnsi="Times New Roman" w:cs="Times New Roman"/>
                <w:sz w:val="16"/>
                <w:szCs w:val="16"/>
              </w:rPr>
              <w:t>Отметки банка</w:t>
            </w:r>
          </w:p>
        </w:tc>
      </w:tr>
    </w:tbl>
    <w:p w:rsidR="0037443D" w:rsidRPr="0037443D" w:rsidRDefault="0037443D" w:rsidP="0037443D">
      <w:pPr>
        <w:autoSpaceDE w:val="0"/>
        <w:autoSpaceDN w:val="0"/>
        <w:adjustRightInd w:val="0"/>
        <w:spacing w:after="0" w:line="240" w:lineRule="auto"/>
        <w:jc w:val="both"/>
        <w:rPr>
          <w:rFonts w:ascii="Times New Roman" w:hAnsi="Times New Roman" w:cs="Times New Roman"/>
          <w:sz w:val="16"/>
          <w:szCs w:val="16"/>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2381"/>
        <w:gridCol w:w="340"/>
        <w:gridCol w:w="3742"/>
        <w:gridCol w:w="2551"/>
      </w:tblGrid>
      <w:tr w:rsidR="0037443D" w:rsidRPr="0037443D">
        <w:tc>
          <w:tcPr>
            <w:tcW w:w="2381" w:type="dxa"/>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r w:rsidRPr="0037443D">
              <w:rPr>
                <w:rFonts w:ascii="Times New Roman" w:hAnsi="Times New Roman" w:cs="Times New Roman"/>
                <w:sz w:val="16"/>
                <w:szCs w:val="16"/>
              </w:rPr>
              <w:t>(43)</w:t>
            </w:r>
          </w:p>
        </w:tc>
        <w:tc>
          <w:tcPr>
            <w:tcW w:w="340" w:type="dxa"/>
          </w:tcPr>
          <w:p w:rsidR="0037443D" w:rsidRPr="0037443D" w:rsidRDefault="0037443D">
            <w:pPr>
              <w:autoSpaceDE w:val="0"/>
              <w:autoSpaceDN w:val="0"/>
              <w:adjustRightInd w:val="0"/>
              <w:spacing w:after="0" w:line="240" w:lineRule="auto"/>
              <w:rPr>
                <w:rFonts w:ascii="Times New Roman" w:hAnsi="Times New Roman" w:cs="Times New Roman"/>
                <w:sz w:val="16"/>
                <w:szCs w:val="16"/>
              </w:rPr>
            </w:pPr>
          </w:p>
        </w:tc>
        <w:tc>
          <w:tcPr>
            <w:tcW w:w="3742" w:type="dxa"/>
            <w:tcBorders>
              <w:bottom w:val="single" w:sz="4" w:space="0" w:color="auto"/>
            </w:tcBorders>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r w:rsidRPr="0037443D">
              <w:rPr>
                <w:rFonts w:ascii="Times New Roman" w:hAnsi="Times New Roman" w:cs="Times New Roman"/>
                <w:sz w:val="16"/>
                <w:szCs w:val="16"/>
              </w:rPr>
              <w:t>(44)</w:t>
            </w:r>
          </w:p>
        </w:tc>
        <w:tc>
          <w:tcPr>
            <w:tcW w:w="2551" w:type="dxa"/>
          </w:tcPr>
          <w:p w:rsidR="0037443D" w:rsidRPr="0037443D" w:rsidRDefault="0037443D">
            <w:pPr>
              <w:autoSpaceDE w:val="0"/>
              <w:autoSpaceDN w:val="0"/>
              <w:adjustRightInd w:val="0"/>
              <w:spacing w:after="0" w:line="240" w:lineRule="auto"/>
              <w:jc w:val="center"/>
              <w:rPr>
                <w:rFonts w:ascii="Times New Roman" w:hAnsi="Times New Roman" w:cs="Times New Roman"/>
                <w:sz w:val="16"/>
                <w:szCs w:val="16"/>
              </w:rPr>
            </w:pPr>
            <w:r w:rsidRPr="0037443D">
              <w:rPr>
                <w:rFonts w:ascii="Times New Roman" w:hAnsi="Times New Roman" w:cs="Times New Roman"/>
                <w:sz w:val="16"/>
                <w:szCs w:val="16"/>
              </w:rPr>
              <w:t>(45)</w:t>
            </w:r>
          </w:p>
        </w:tc>
      </w:tr>
      <w:tr w:rsidR="0037443D">
        <w:tc>
          <w:tcPr>
            <w:tcW w:w="2381" w:type="dxa"/>
          </w:tcPr>
          <w:p w:rsidR="0037443D" w:rsidRDefault="0037443D">
            <w:pPr>
              <w:autoSpaceDE w:val="0"/>
              <w:autoSpaceDN w:val="0"/>
              <w:adjustRightInd w:val="0"/>
              <w:spacing w:after="0" w:line="240" w:lineRule="auto"/>
              <w:jc w:val="center"/>
              <w:rPr>
                <w:rFonts w:ascii="Times New Roman" w:hAnsi="Times New Roman" w:cs="Times New Roman"/>
              </w:rPr>
            </w:pPr>
            <w:r>
              <w:rPr>
                <w:rFonts w:ascii="Times New Roman" w:hAnsi="Times New Roman" w:cs="Times New Roman"/>
              </w:rPr>
              <w:t>М.П.</w:t>
            </w:r>
          </w:p>
        </w:tc>
        <w:tc>
          <w:tcPr>
            <w:tcW w:w="340" w:type="dxa"/>
          </w:tcPr>
          <w:p w:rsidR="0037443D" w:rsidRDefault="0037443D">
            <w:pPr>
              <w:autoSpaceDE w:val="0"/>
              <w:autoSpaceDN w:val="0"/>
              <w:adjustRightInd w:val="0"/>
              <w:spacing w:after="0" w:line="240" w:lineRule="auto"/>
              <w:rPr>
                <w:rFonts w:ascii="Times New Roman" w:hAnsi="Times New Roman" w:cs="Times New Roman"/>
              </w:rPr>
            </w:pPr>
          </w:p>
        </w:tc>
        <w:tc>
          <w:tcPr>
            <w:tcW w:w="3742" w:type="dxa"/>
            <w:tcBorders>
              <w:top w:val="single" w:sz="4" w:space="0" w:color="auto"/>
            </w:tcBorders>
          </w:tcPr>
          <w:p w:rsidR="0037443D" w:rsidRDefault="0037443D">
            <w:pPr>
              <w:autoSpaceDE w:val="0"/>
              <w:autoSpaceDN w:val="0"/>
              <w:adjustRightInd w:val="0"/>
              <w:spacing w:after="0" w:line="240" w:lineRule="auto"/>
              <w:rPr>
                <w:rFonts w:ascii="Times New Roman" w:hAnsi="Times New Roman" w:cs="Times New Roman"/>
              </w:rPr>
            </w:pPr>
          </w:p>
        </w:tc>
        <w:tc>
          <w:tcPr>
            <w:tcW w:w="2551" w:type="dxa"/>
          </w:tcPr>
          <w:p w:rsidR="0037443D" w:rsidRDefault="0037443D">
            <w:pPr>
              <w:autoSpaceDE w:val="0"/>
              <w:autoSpaceDN w:val="0"/>
              <w:adjustRightInd w:val="0"/>
              <w:spacing w:after="0" w:line="240" w:lineRule="auto"/>
              <w:rPr>
                <w:rFonts w:ascii="Times New Roman" w:hAnsi="Times New Roman" w:cs="Times New Roman"/>
              </w:rPr>
            </w:pPr>
          </w:p>
        </w:tc>
      </w:tr>
      <w:tr w:rsidR="0037443D" w:rsidTr="0037443D">
        <w:trPr>
          <w:trHeight w:val="26"/>
        </w:trPr>
        <w:tc>
          <w:tcPr>
            <w:tcW w:w="2381" w:type="dxa"/>
          </w:tcPr>
          <w:p w:rsidR="0037443D" w:rsidRDefault="0037443D">
            <w:pPr>
              <w:autoSpaceDE w:val="0"/>
              <w:autoSpaceDN w:val="0"/>
              <w:adjustRightInd w:val="0"/>
              <w:spacing w:after="0" w:line="240" w:lineRule="auto"/>
              <w:rPr>
                <w:rFonts w:ascii="Times New Roman" w:hAnsi="Times New Roman" w:cs="Times New Roman"/>
              </w:rPr>
            </w:pPr>
          </w:p>
        </w:tc>
        <w:tc>
          <w:tcPr>
            <w:tcW w:w="340" w:type="dxa"/>
          </w:tcPr>
          <w:p w:rsidR="0037443D" w:rsidRDefault="0037443D">
            <w:pPr>
              <w:autoSpaceDE w:val="0"/>
              <w:autoSpaceDN w:val="0"/>
              <w:adjustRightInd w:val="0"/>
              <w:spacing w:after="0" w:line="240" w:lineRule="auto"/>
              <w:rPr>
                <w:rFonts w:ascii="Times New Roman" w:hAnsi="Times New Roman" w:cs="Times New Roman"/>
              </w:rPr>
            </w:pPr>
          </w:p>
        </w:tc>
        <w:tc>
          <w:tcPr>
            <w:tcW w:w="3742" w:type="dxa"/>
            <w:tcBorders>
              <w:bottom w:val="single" w:sz="4" w:space="0" w:color="auto"/>
            </w:tcBorders>
          </w:tcPr>
          <w:p w:rsidR="0037443D" w:rsidRDefault="0037443D">
            <w:pPr>
              <w:autoSpaceDE w:val="0"/>
              <w:autoSpaceDN w:val="0"/>
              <w:adjustRightInd w:val="0"/>
              <w:spacing w:after="0" w:line="240" w:lineRule="auto"/>
              <w:rPr>
                <w:rFonts w:ascii="Times New Roman" w:hAnsi="Times New Roman" w:cs="Times New Roman"/>
              </w:rPr>
            </w:pPr>
          </w:p>
        </w:tc>
        <w:tc>
          <w:tcPr>
            <w:tcW w:w="2551" w:type="dxa"/>
          </w:tcPr>
          <w:p w:rsidR="0037443D" w:rsidRDefault="0037443D">
            <w:pPr>
              <w:autoSpaceDE w:val="0"/>
              <w:autoSpaceDN w:val="0"/>
              <w:adjustRightInd w:val="0"/>
              <w:spacing w:after="0" w:line="240" w:lineRule="auto"/>
              <w:rPr>
                <w:rFonts w:ascii="Times New Roman" w:hAnsi="Times New Roman" w:cs="Times New Roman"/>
              </w:rPr>
            </w:pPr>
          </w:p>
        </w:tc>
      </w:tr>
      <w:tr w:rsidR="0037443D">
        <w:tc>
          <w:tcPr>
            <w:tcW w:w="2381" w:type="dxa"/>
          </w:tcPr>
          <w:p w:rsidR="0037443D" w:rsidRDefault="0037443D">
            <w:pPr>
              <w:autoSpaceDE w:val="0"/>
              <w:autoSpaceDN w:val="0"/>
              <w:adjustRightInd w:val="0"/>
              <w:spacing w:after="0" w:line="240" w:lineRule="auto"/>
              <w:rPr>
                <w:rFonts w:ascii="Times New Roman" w:hAnsi="Times New Roman" w:cs="Times New Roman"/>
              </w:rPr>
            </w:pPr>
          </w:p>
        </w:tc>
        <w:tc>
          <w:tcPr>
            <w:tcW w:w="340" w:type="dxa"/>
          </w:tcPr>
          <w:p w:rsidR="0037443D" w:rsidRDefault="0037443D">
            <w:pPr>
              <w:autoSpaceDE w:val="0"/>
              <w:autoSpaceDN w:val="0"/>
              <w:adjustRightInd w:val="0"/>
              <w:spacing w:after="0" w:line="240" w:lineRule="auto"/>
              <w:rPr>
                <w:rFonts w:ascii="Times New Roman" w:hAnsi="Times New Roman" w:cs="Times New Roman"/>
              </w:rPr>
            </w:pPr>
          </w:p>
        </w:tc>
        <w:tc>
          <w:tcPr>
            <w:tcW w:w="3742" w:type="dxa"/>
            <w:tcBorders>
              <w:top w:val="single" w:sz="4" w:space="0" w:color="auto"/>
            </w:tcBorders>
          </w:tcPr>
          <w:p w:rsidR="0037443D" w:rsidRDefault="0037443D">
            <w:pPr>
              <w:autoSpaceDE w:val="0"/>
              <w:autoSpaceDN w:val="0"/>
              <w:adjustRightInd w:val="0"/>
              <w:spacing w:after="0" w:line="240" w:lineRule="auto"/>
              <w:rPr>
                <w:rFonts w:ascii="Times New Roman" w:hAnsi="Times New Roman" w:cs="Times New Roman"/>
              </w:rPr>
            </w:pPr>
          </w:p>
        </w:tc>
        <w:tc>
          <w:tcPr>
            <w:tcW w:w="2551" w:type="dxa"/>
          </w:tcPr>
          <w:p w:rsidR="0037443D" w:rsidRDefault="0037443D">
            <w:pPr>
              <w:autoSpaceDE w:val="0"/>
              <w:autoSpaceDN w:val="0"/>
              <w:adjustRightInd w:val="0"/>
              <w:spacing w:after="0" w:line="240" w:lineRule="auto"/>
              <w:rPr>
                <w:rFonts w:ascii="Times New Roman" w:hAnsi="Times New Roman" w:cs="Times New Roman"/>
              </w:rPr>
            </w:pPr>
          </w:p>
        </w:tc>
      </w:tr>
    </w:tbl>
    <w:p w:rsidR="00FE339C" w:rsidRDefault="00FE339C" w:rsidP="00FE339C">
      <w:pPr>
        <w:autoSpaceDE w:val="0"/>
        <w:autoSpaceDN w:val="0"/>
        <w:adjustRightInd w:val="0"/>
        <w:spacing w:after="0" w:line="240" w:lineRule="auto"/>
        <w:jc w:val="center"/>
        <w:rPr>
          <w:rFonts w:ascii="Times New Roman" w:hAnsi="Times New Roman" w:cs="Times New Roman"/>
          <w:b/>
          <w:bCs/>
          <w:sz w:val="16"/>
          <w:szCs w:val="16"/>
        </w:rPr>
      </w:pPr>
    </w:p>
    <w:p w:rsidR="00FE339C" w:rsidRPr="00FE339C" w:rsidRDefault="00FE339C" w:rsidP="00FE339C">
      <w:pPr>
        <w:autoSpaceDE w:val="0"/>
        <w:autoSpaceDN w:val="0"/>
        <w:adjustRightInd w:val="0"/>
        <w:spacing w:after="0" w:line="240" w:lineRule="auto"/>
        <w:jc w:val="center"/>
        <w:rPr>
          <w:rFonts w:ascii="Times New Roman" w:hAnsi="Times New Roman" w:cs="Times New Roman"/>
          <w:b/>
          <w:bCs/>
          <w:sz w:val="16"/>
          <w:szCs w:val="16"/>
        </w:rPr>
      </w:pPr>
      <w:r w:rsidRPr="00FE339C">
        <w:rPr>
          <w:rFonts w:ascii="Times New Roman" w:hAnsi="Times New Roman" w:cs="Times New Roman"/>
          <w:b/>
          <w:bCs/>
          <w:sz w:val="16"/>
          <w:szCs w:val="16"/>
        </w:rPr>
        <w:t>ПЕРЕЧЕНЬ</w:t>
      </w:r>
    </w:p>
    <w:p w:rsidR="00FE339C" w:rsidRPr="00FE339C" w:rsidRDefault="00FE339C" w:rsidP="00FE339C">
      <w:pPr>
        <w:autoSpaceDE w:val="0"/>
        <w:autoSpaceDN w:val="0"/>
        <w:adjustRightInd w:val="0"/>
        <w:spacing w:after="0" w:line="240" w:lineRule="auto"/>
        <w:jc w:val="center"/>
        <w:rPr>
          <w:rFonts w:ascii="Times New Roman" w:hAnsi="Times New Roman" w:cs="Times New Roman"/>
          <w:b/>
          <w:bCs/>
          <w:sz w:val="16"/>
          <w:szCs w:val="16"/>
        </w:rPr>
      </w:pPr>
      <w:r w:rsidRPr="00FE339C">
        <w:rPr>
          <w:rFonts w:ascii="Times New Roman" w:hAnsi="Times New Roman" w:cs="Times New Roman"/>
          <w:b/>
          <w:bCs/>
          <w:sz w:val="16"/>
          <w:szCs w:val="16"/>
        </w:rPr>
        <w:t>И ОПИСАНИЕ РЕКВИЗИТОВ ПЛАТЕЖНОГО ПОРУЧЕНИЯ, ИНКАССОВОГО</w:t>
      </w:r>
    </w:p>
    <w:p w:rsidR="00FE339C" w:rsidRPr="00FE339C" w:rsidRDefault="00FE339C" w:rsidP="00FE339C">
      <w:pPr>
        <w:autoSpaceDE w:val="0"/>
        <w:autoSpaceDN w:val="0"/>
        <w:adjustRightInd w:val="0"/>
        <w:spacing w:after="0" w:line="240" w:lineRule="auto"/>
        <w:jc w:val="center"/>
        <w:rPr>
          <w:rFonts w:ascii="Times New Roman" w:hAnsi="Times New Roman" w:cs="Times New Roman"/>
          <w:b/>
          <w:bCs/>
          <w:sz w:val="16"/>
          <w:szCs w:val="16"/>
        </w:rPr>
      </w:pPr>
      <w:r w:rsidRPr="00FE339C">
        <w:rPr>
          <w:rFonts w:ascii="Times New Roman" w:hAnsi="Times New Roman" w:cs="Times New Roman"/>
          <w:b/>
          <w:bCs/>
          <w:sz w:val="16"/>
          <w:szCs w:val="16"/>
        </w:rPr>
        <w:t>ПОРУЧЕНИЯ, ПЛАТЕЖНОГО ТРЕБОВАНИЯ</w:t>
      </w:r>
      <w:r w:rsidR="00280F15">
        <w:rPr>
          <w:rStyle w:val="a6"/>
          <w:rFonts w:ascii="Times New Roman" w:hAnsi="Times New Roman" w:cs="Times New Roman"/>
          <w:b/>
          <w:bCs/>
          <w:sz w:val="16"/>
          <w:szCs w:val="16"/>
        </w:rPr>
        <w:footnoteReference w:id="1"/>
      </w:r>
    </w:p>
    <w:p w:rsidR="00FE339C" w:rsidRPr="00FE339C" w:rsidRDefault="00FE339C" w:rsidP="00FE339C">
      <w:pPr>
        <w:autoSpaceDE w:val="0"/>
        <w:autoSpaceDN w:val="0"/>
        <w:adjustRightInd w:val="0"/>
        <w:spacing w:after="0" w:line="240" w:lineRule="auto"/>
        <w:jc w:val="both"/>
        <w:outlineLvl w:val="0"/>
        <w:rPr>
          <w:rFonts w:ascii="Times New Roman" w:hAnsi="Times New Roman" w:cs="Times New Roman"/>
          <w:b/>
          <w:bCs/>
          <w:sz w:val="16"/>
          <w:szCs w:val="16"/>
        </w:rPr>
      </w:pPr>
    </w:p>
    <w:tbl>
      <w:tblPr>
        <w:tblW w:w="10348" w:type="dxa"/>
        <w:tblInd w:w="-572" w:type="dxa"/>
        <w:tblLayout w:type="fixed"/>
        <w:tblCellMar>
          <w:top w:w="102" w:type="dxa"/>
          <w:left w:w="62" w:type="dxa"/>
          <w:bottom w:w="102" w:type="dxa"/>
          <w:right w:w="62" w:type="dxa"/>
        </w:tblCellMar>
        <w:tblLook w:val="0000" w:firstRow="0" w:lastRow="0" w:firstColumn="0" w:lastColumn="0" w:noHBand="0" w:noVBand="0"/>
      </w:tblPr>
      <w:tblGrid>
        <w:gridCol w:w="1902"/>
        <w:gridCol w:w="1978"/>
        <w:gridCol w:w="6468"/>
      </w:tblGrid>
      <w:tr w:rsidR="00FE339C" w:rsidRPr="00FE339C" w:rsidTr="00FE339C">
        <w:tc>
          <w:tcPr>
            <w:tcW w:w="1902" w:type="dxa"/>
            <w:tcBorders>
              <w:top w:val="single" w:sz="4" w:space="0" w:color="auto"/>
              <w:left w:val="single" w:sz="4" w:space="0" w:color="auto"/>
              <w:bottom w:val="single" w:sz="4" w:space="0" w:color="auto"/>
              <w:right w:val="single" w:sz="4" w:space="0" w:color="auto"/>
            </w:tcBorders>
          </w:tcPr>
          <w:p w:rsidR="00FE339C" w:rsidRPr="00FE339C" w:rsidRDefault="00FE339C" w:rsidP="00FE339C">
            <w:pPr>
              <w:autoSpaceDE w:val="0"/>
              <w:autoSpaceDN w:val="0"/>
              <w:adjustRightInd w:val="0"/>
              <w:spacing w:after="0" w:line="240" w:lineRule="auto"/>
              <w:jc w:val="center"/>
              <w:rPr>
                <w:rFonts w:ascii="Times New Roman" w:hAnsi="Times New Roman" w:cs="Times New Roman"/>
                <w:b/>
                <w:bCs/>
                <w:sz w:val="16"/>
                <w:szCs w:val="16"/>
              </w:rPr>
            </w:pPr>
            <w:r w:rsidRPr="00FE339C">
              <w:rPr>
                <w:rFonts w:ascii="Times New Roman" w:hAnsi="Times New Roman" w:cs="Times New Roman"/>
                <w:b/>
                <w:bCs/>
                <w:sz w:val="16"/>
                <w:szCs w:val="16"/>
              </w:rPr>
              <w:t>Номер реквизита</w:t>
            </w:r>
          </w:p>
        </w:tc>
        <w:tc>
          <w:tcPr>
            <w:tcW w:w="1978" w:type="dxa"/>
            <w:tcBorders>
              <w:top w:val="single" w:sz="4" w:space="0" w:color="auto"/>
              <w:left w:val="single" w:sz="4" w:space="0" w:color="auto"/>
              <w:bottom w:val="single" w:sz="4" w:space="0" w:color="auto"/>
              <w:right w:val="single" w:sz="4" w:space="0" w:color="auto"/>
            </w:tcBorders>
          </w:tcPr>
          <w:p w:rsidR="00FE339C" w:rsidRPr="00FE339C" w:rsidRDefault="00FE339C" w:rsidP="00FE339C">
            <w:pPr>
              <w:autoSpaceDE w:val="0"/>
              <w:autoSpaceDN w:val="0"/>
              <w:adjustRightInd w:val="0"/>
              <w:spacing w:after="0" w:line="240" w:lineRule="auto"/>
              <w:jc w:val="center"/>
              <w:rPr>
                <w:rFonts w:ascii="Times New Roman" w:hAnsi="Times New Roman" w:cs="Times New Roman"/>
                <w:b/>
                <w:bCs/>
                <w:sz w:val="16"/>
                <w:szCs w:val="16"/>
              </w:rPr>
            </w:pPr>
            <w:r w:rsidRPr="00FE339C">
              <w:rPr>
                <w:rFonts w:ascii="Times New Roman" w:hAnsi="Times New Roman" w:cs="Times New Roman"/>
                <w:b/>
                <w:bCs/>
                <w:sz w:val="16"/>
                <w:szCs w:val="16"/>
              </w:rPr>
              <w:t>Наименование реквизита</w:t>
            </w:r>
          </w:p>
        </w:tc>
        <w:tc>
          <w:tcPr>
            <w:tcW w:w="6468" w:type="dxa"/>
            <w:tcBorders>
              <w:top w:val="single" w:sz="4" w:space="0" w:color="auto"/>
              <w:left w:val="single" w:sz="4" w:space="0" w:color="auto"/>
              <w:bottom w:val="single" w:sz="4" w:space="0" w:color="auto"/>
              <w:right w:val="single" w:sz="4" w:space="0" w:color="auto"/>
            </w:tcBorders>
          </w:tcPr>
          <w:p w:rsidR="00FE339C" w:rsidRPr="00FE339C" w:rsidRDefault="00FE339C" w:rsidP="00FE339C">
            <w:pPr>
              <w:autoSpaceDE w:val="0"/>
              <w:autoSpaceDN w:val="0"/>
              <w:adjustRightInd w:val="0"/>
              <w:spacing w:after="0" w:line="240" w:lineRule="auto"/>
              <w:jc w:val="center"/>
              <w:rPr>
                <w:rFonts w:ascii="Times New Roman" w:hAnsi="Times New Roman" w:cs="Times New Roman"/>
                <w:b/>
                <w:bCs/>
                <w:sz w:val="16"/>
                <w:szCs w:val="16"/>
              </w:rPr>
            </w:pPr>
            <w:r w:rsidRPr="00FE339C">
              <w:rPr>
                <w:rFonts w:ascii="Times New Roman" w:hAnsi="Times New Roman" w:cs="Times New Roman"/>
                <w:b/>
                <w:bCs/>
                <w:sz w:val="16"/>
                <w:szCs w:val="16"/>
              </w:rPr>
              <w:t>Значение реквизита</w:t>
            </w:r>
          </w:p>
        </w:tc>
      </w:tr>
      <w:tr w:rsidR="00FE339C" w:rsidRPr="00FE339C" w:rsidTr="00FE339C">
        <w:tc>
          <w:tcPr>
            <w:tcW w:w="1902" w:type="dxa"/>
            <w:tcBorders>
              <w:top w:val="single" w:sz="4" w:space="0" w:color="auto"/>
              <w:left w:val="single" w:sz="4" w:space="0" w:color="auto"/>
              <w:bottom w:val="single" w:sz="4" w:space="0" w:color="auto"/>
              <w:right w:val="single" w:sz="4" w:space="0" w:color="auto"/>
            </w:tcBorders>
          </w:tcPr>
          <w:p w:rsidR="00FE339C" w:rsidRPr="00FE339C" w:rsidRDefault="00FE339C" w:rsidP="00FE339C">
            <w:pPr>
              <w:autoSpaceDE w:val="0"/>
              <w:autoSpaceDN w:val="0"/>
              <w:adjustRightInd w:val="0"/>
              <w:spacing w:after="0" w:line="240" w:lineRule="auto"/>
              <w:jc w:val="center"/>
              <w:rPr>
                <w:rFonts w:ascii="Times New Roman" w:hAnsi="Times New Roman" w:cs="Times New Roman"/>
                <w:bCs/>
                <w:sz w:val="16"/>
                <w:szCs w:val="16"/>
              </w:rPr>
            </w:pPr>
            <w:r w:rsidRPr="00FE339C">
              <w:rPr>
                <w:rFonts w:ascii="Times New Roman" w:hAnsi="Times New Roman" w:cs="Times New Roman"/>
                <w:bCs/>
                <w:sz w:val="16"/>
                <w:szCs w:val="16"/>
              </w:rPr>
              <w:t>1</w:t>
            </w:r>
          </w:p>
        </w:tc>
        <w:tc>
          <w:tcPr>
            <w:tcW w:w="1978" w:type="dxa"/>
            <w:tcBorders>
              <w:top w:val="single" w:sz="4" w:space="0" w:color="auto"/>
              <w:left w:val="single" w:sz="4" w:space="0" w:color="auto"/>
              <w:bottom w:val="single" w:sz="4" w:space="0" w:color="auto"/>
              <w:right w:val="single" w:sz="4" w:space="0" w:color="auto"/>
            </w:tcBorders>
          </w:tcPr>
          <w:p w:rsidR="00FE339C" w:rsidRPr="00FE339C" w:rsidRDefault="00FE339C" w:rsidP="00FE339C">
            <w:pPr>
              <w:autoSpaceDE w:val="0"/>
              <w:autoSpaceDN w:val="0"/>
              <w:adjustRightInd w:val="0"/>
              <w:spacing w:after="0" w:line="240" w:lineRule="auto"/>
              <w:jc w:val="center"/>
              <w:rPr>
                <w:rFonts w:ascii="Times New Roman" w:hAnsi="Times New Roman" w:cs="Times New Roman"/>
                <w:bCs/>
                <w:sz w:val="16"/>
                <w:szCs w:val="16"/>
              </w:rPr>
            </w:pPr>
            <w:r w:rsidRPr="00FE339C">
              <w:rPr>
                <w:rFonts w:ascii="Times New Roman" w:hAnsi="Times New Roman" w:cs="Times New Roman"/>
                <w:bCs/>
                <w:sz w:val="16"/>
                <w:szCs w:val="16"/>
              </w:rPr>
              <w:t>2</w:t>
            </w:r>
          </w:p>
        </w:tc>
        <w:tc>
          <w:tcPr>
            <w:tcW w:w="6468" w:type="dxa"/>
            <w:tcBorders>
              <w:top w:val="single" w:sz="4" w:space="0" w:color="auto"/>
              <w:left w:val="single" w:sz="4" w:space="0" w:color="auto"/>
              <w:bottom w:val="single" w:sz="4" w:space="0" w:color="auto"/>
              <w:right w:val="single" w:sz="4" w:space="0" w:color="auto"/>
            </w:tcBorders>
          </w:tcPr>
          <w:p w:rsidR="00FE339C" w:rsidRPr="00FE339C" w:rsidRDefault="00FE339C" w:rsidP="00FE339C">
            <w:pPr>
              <w:autoSpaceDE w:val="0"/>
              <w:autoSpaceDN w:val="0"/>
              <w:adjustRightInd w:val="0"/>
              <w:spacing w:after="0" w:line="240" w:lineRule="auto"/>
              <w:jc w:val="center"/>
              <w:rPr>
                <w:rFonts w:ascii="Times New Roman" w:hAnsi="Times New Roman" w:cs="Times New Roman"/>
                <w:bCs/>
                <w:sz w:val="16"/>
                <w:szCs w:val="16"/>
              </w:rPr>
            </w:pPr>
            <w:r w:rsidRPr="00FE339C">
              <w:rPr>
                <w:rFonts w:ascii="Times New Roman" w:hAnsi="Times New Roman" w:cs="Times New Roman"/>
                <w:bCs/>
                <w:sz w:val="16"/>
                <w:szCs w:val="16"/>
              </w:rPr>
              <w:t>3</w:t>
            </w:r>
          </w:p>
        </w:tc>
      </w:tr>
      <w:tr w:rsidR="00FE339C" w:rsidRPr="00FE339C" w:rsidTr="00FE339C">
        <w:tc>
          <w:tcPr>
            <w:tcW w:w="1902" w:type="dxa"/>
            <w:vMerge w:val="restart"/>
            <w:tcBorders>
              <w:top w:val="single" w:sz="4" w:space="0" w:color="auto"/>
              <w:left w:val="single" w:sz="4" w:space="0" w:color="auto"/>
              <w:bottom w:val="single" w:sz="4" w:space="0" w:color="auto"/>
              <w:right w:val="single" w:sz="4" w:space="0" w:color="auto"/>
            </w:tcBorders>
          </w:tcPr>
          <w:p w:rsidR="00FE339C" w:rsidRPr="00FE339C" w:rsidRDefault="00FE339C" w:rsidP="00FE339C">
            <w:pPr>
              <w:autoSpaceDE w:val="0"/>
              <w:autoSpaceDN w:val="0"/>
              <w:adjustRightInd w:val="0"/>
              <w:spacing w:after="0" w:line="240" w:lineRule="auto"/>
              <w:rPr>
                <w:rFonts w:ascii="Times New Roman" w:hAnsi="Times New Roman" w:cs="Times New Roman"/>
                <w:bCs/>
                <w:sz w:val="16"/>
                <w:szCs w:val="16"/>
              </w:rPr>
            </w:pPr>
            <w:r w:rsidRPr="00FE339C">
              <w:rPr>
                <w:rFonts w:ascii="Times New Roman" w:hAnsi="Times New Roman" w:cs="Times New Roman"/>
                <w:bCs/>
                <w:sz w:val="16"/>
                <w:szCs w:val="16"/>
              </w:rPr>
              <w:t>1</w:t>
            </w:r>
          </w:p>
        </w:tc>
        <w:tc>
          <w:tcPr>
            <w:tcW w:w="1978" w:type="dxa"/>
            <w:tcBorders>
              <w:top w:val="single" w:sz="4" w:space="0" w:color="auto"/>
              <w:left w:val="single" w:sz="4" w:space="0" w:color="auto"/>
              <w:right w:val="single" w:sz="4" w:space="0" w:color="auto"/>
            </w:tcBorders>
          </w:tcPr>
          <w:p w:rsidR="00FE339C" w:rsidRPr="00FE339C" w:rsidRDefault="00FE339C" w:rsidP="00FA4BAE">
            <w:pPr>
              <w:autoSpaceDE w:val="0"/>
              <w:autoSpaceDN w:val="0"/>
              <w:adjustRightInd w:val="0"/>
              <w:spacing w:after="0" w:line="240" w:lineRule="auto"/>
              <w:rPr>
                <w:rFonts w:ascii="Times New Roman" w:hAnsi="Times New Roman" w:cs="Times New Roman"/>
                <w:bCs/>
                <w:sz w:val="16"/>
                <w:szCs w:val="16"/>
              </w:rPr>
            </w:pPr>
            <w:r w:rsidRPr="00FE339C">
              <w:rPr>
                <w:rFonts w:ascii="Times New Roman" w:hAnsi="Times New Roman" w:cs="Times New Roman"/>
                <w:bCs/>
                <w:sz w:val="16"/>
                <w:szCs w:val="16"/>
              </w:rPr>
              <w:t>ПЛАТЕЖНОЕ ПОРУЧЕНИЕ</w:t>
            </w:r>
          </w:p>
        </w:tc>
        <w:tc>
          <w:tcPr>
            <w:tcW w:w="6468" w:type="dxa"/>
            <w:vMerge w:val="restart"/>
            <w:tcBorders>
              <w:top w:val="single" w:sz="4" w:space="0" w:color="auto"/>
              <w:left w:val="single" w:sz="4" w:space="0" w:color="auto"/>
              <w:bottom w:val="single" w:sz="4" w:space="0" w:color="auto"/>
              <w:right w:val="single" w:sz="4" w:space="0" w:color="auto"/>
            </w:tcBorders>
          </w:tcPr>
          <w:p w:rsidR="00FE339C" w:rsidRPr="00FE339C" w:rsidRDefault="00FE339C" w:rsidP="00FA4BAE">
            <w:pPr>
              <w:autoSpaceDE w:val="0"/>
              <w:autoSpaceDN w:val="0"/>
              <w:adjustRightInd w:val="0"/>
              <w:spacing w:after="0" w:line="240" w:lineRule="auto"/>
              <w:ind w:firstLine="283"/>
              <w:jc w:val="both"/>
              <w:rPr>
                <w:rFonts w:ascii="Times New Roman" w:hAnsi="Times New Roman" w:cs="Times New Roman"/>
                <w:bCs/>
                <w:sz w:val="16"/>
                <w:szCs w:val="16"/>
              </w:rPr>
            </w:pPr>
            <w:r w:rsidRPr="00FE339C">
              <w:rPr>
                <w:rFonts w:ascii="Times New Roman" w:hAnsi="Times New Roman" w:cs="Times New Roman"/>
                <w:bCs/>
                <w:sz w:val="16"/>
                <w:szCs w:val="16"/>
              </w:rPr>
              <w:t>Наименование распоряжения.</w:t>
            </w:r>
          </w:p>
          <w:p w:rsidR="00FE339C" w:rsidRPr="00FE339C" w:rsidRDefault="00FE339C" w:rsidP="00FA4BAE">
            <w:pPr>
              <w:autoSpaceDE w:val="0"/>
              <w:autoSpaceDN w:val="0"/>
              <w:adjustRightInd w:val="0"/>
              <w:spacing w:after="0" w:line="240" w:lineRule="auto"/>
              <w:ind w:firstLine="283"/>
              <w:jc w:val="both"/>
              <w:rPr>
                <w:rFonts w:ascii="Times New Roman" w:hAnsi="Times New Roman" w:cs="Times New Roman"/>
                <w:bCs/>
                <w:sz w:val="16"/>
                <w:szCs w:val="16"/>
              </w:rPr>
            </w:pPr>
            <w:r w:rsidRPr="00FE339C">
              <w:rPr>
                <w:rFonts w:ascii="Times New Roman" w:hAnsi="Times New Roman" w:cs="Times New Roman"/>
                <w:bCs/>
                <w:sz w:val="16"/>
                <w:szCs w:val="16"/>
              </w:rPr>
              <w:t>Указывается наименование в распоряжении на бумажном носителе</w:t>
            </w:r>
          </w:p>
        </w:tc>
      </w:tr>
      <w:tr w:rsidR="00FE339C" w:rsidRPr="00FE339C" w:rsidTr="00FE339C">
        <w:tc>
          <w:tcPr>
            <w:tcW w:w="1902" w:type="dxa"/>
            <w:vMerge/>
            <w:tcBorders>
              <w:top w:val="single" w:sz="4" w:space="0" w:color="auto"/>
              <w:left w:val="single" w:sz="4" w:space="0" w:color="auto"/>
              <w:bottom w:val="single" w:sz="4" w:space="0" w:color="auto"/>
              <w:right w:val="single" w:sz="4" w:space="0" w:color="auto"/>
            </w:tcBorders>
          </w:tcPr>
          <w:p w:rsidR="00FE339C" w:rsidRPr="00FE339C" w:rsidRDefault="00FE339C" w:rsidP="00FE339C">
            <w:pPr>
              <w:autoSpaceDE w:val="0"/>
              <w:autoSpaceDN w:val="0"/>
              <w:adjustRightInd w:val="0"/>
              <w:spacing w:after="0" w:line="240" w:lineRule="auto"/>
              <w:ind w:firstLine="283"/>
              <w:rPr>
                <w:rFonts w:ascii="Times New Roman" w:hAnsi="Times New Roman" w:cs="Times New Roman"/>
                <w:bCs/>
                <w:sz w:val="16"/>
                <w:szCs w:val="16"/>
              </w:rPr>
            </w:pPr>
          </w:p>
        </w:tc>
        <w:tc>
          <w:tcPr>
            <w:tcW w:w="1978" w:type="dxa"/>
            <w:tcBorders>
              <w:left w:val="single" w:sz="4" w:space="0" w:color="auto"/>
              <w:right w:val="single" w:sz="4" w:space="0" w:color="auto"/>
            </w:tcBorders>
          </w:tcPr>
          <w:p w:rsidR="00FE339C" w:rsidRPr="00FE339C" w:rsidRDefault="00FE339C" w:rsidP="00FA4BAE">
            <w:pPr>
              <w:autoSpaceDE w:val="0"/>
              <w:autoSpaceDN w:val="0"/>
              <w:adjustRightInd w:val="0"/>
              <w:spacing w:after="0" w:line="240" w:lineRule="auto"/>
              <w:rPr>
                <w:rFonts w:ascii="Times New Roman" w:hAnsi="Times New Roman" w:cs="Times New Roman"/>
                <w:bCs/>
                <w:sz w:val="16"/>
                <w:szCs w:val="16"/>
              </w:rPr>
            </w:pPr>
            <w:r w:rsidRPr="00FE339C">
              <w:rPr>
                <w:rFonts w:ascii="Times New Roman" w:hAnsi="Times New Roman" w:cs="Times New Roman"/>
                <w:bCs/>
                <w:sz w:val="16"/>
                <w:szCs w:val="16"/>
              </w:rPr>
              <w:t>ИНКАССОВОЕ ПОРУЧЕНИЕ</w:t>
            </w:r>
          </w:p>
        </w:tc>
        <w:tc>
          <w:tcPr>
            <w:tcW w:w="6468" w:type="dxa"/>
            <w:vMerge/>
            <w:tcBorders>
              <w:top w:val="single" w:sz="4" w:space="0" w:color="auto"/>
              <w:left w:val="single" w:sz="4" w:space="0" w:color="auto"/>
              <w:bottom w:val="single" w:sz="4" w:space="0" w:color="auto"/>
              <w:right w:val="single" w:sz="4" w:space="0" w:color="auto"/>
            </w:tcBorders>
          </w:tcPr>
          <w:p w:rsidR="00FE339C" w:rsidRPr="00FE339C" w:rsidRDefault="00FE339C" w:rsidP="00FA4BAE">
            <w:pPr>
              <w:autoSpaceDE w:val="0"/>
              <w:autoSpaceDN w:val="0"/>
              <w:adjustRightInd w:val="0"/>
              <w:spacing w:after="0" w:line="240" w:lineRule="auto"/>
              <w:jc w:val="both"/>
              <w:rPr>
                <w:rFonts w:ascii="Times New Roman" w:hAnsi="Times New Roman" w:cs="Times New Roman"/>
                <w:bCs/>
                <w:sz w:val="16"/>
                <w:szCs w:val="16"/>
              </w:rPr>
            </w:pPr>
          </w:p>
        </w:tc>
      </w:tr>
      <w:tr w:rsidR="00FE339C" w:rsidRPr="00FE339C" w:rsidTr="00FE339C">
        <w:tc>
          <w:tcPr>
            <w:tcW w:w="1902" w:type="dxa"/>
            <w:vMerge/>
            <w:tcBorders>
              <w:top w:val="single" w:sz="4" w:space="0" w:color="auto"/>
              <w:left w:val="single" w:sz="4" w:space="0" w:color="auto"/>
              <w:bottom w:val="single" w:sz="4" w:space="0" w:color="auto"/>
              <w:right w:val="single" w:sz="4" w:space="0" w:color="auto"/>
            </w:tcBorders>
          </w:tcPr>
          <w:p w:rsidR="00FE339C" w:rsidRPr="00FE339C" w:rsidRDefault="00FE339C" w:rsidP="00FE339C">
            <w:pPr>
              <w:autoSpaceDE w:val="0"/>
              <w:autoSpaceDN w:val="0"/>
              <w:adjustRightInd w:val="0"/>
              <w:spacing w:after="0" w:line="240" w:lineRule="auto"/>
              <w:rPr>
                <w:rFonts w:ascii="Times New Roman" w:hAnsi="Times New Roman" w:cs="Times New Roman"/>
                <w:bCs/>
                <w:sz w:val="16"/>
                <w:szCs w:val="16"/>
              </w:rPr>
            </w:pPr>
          </w:p>
        </w:tc>
        <w:tc>
          <w:tcPr>
            <w:tcW w:w="1978" w:type="dxa"/>
            <w:tcBorders>
              <w:left w:val="single" w:sz="4" w:space="0" w:color="auto"/>
              <w:bottom w:val="single" w:sz="4" w:space="0" w:color="auto"/>
              <w:right w:val="single" w:sz="4" w:space="0" w:color="auto"/>
            </w:tcBorders>
          </w:tcPr>
          <w:p w:rsidR="00FE339C" w:rsidRPr="00FE339C" w:rsidRDefault="00FE339C" w:rsidP="00FA4BAE">
            <w:pPr>
              <w:autoSpaceDE w:val="0"/>
              <w:autoSpaceDN w:val="0"/>
              <w:adjustRightInd w:val="0"/>
              <w:spacing w:after="0" w:line="240" w:lineRule="auto"/>
              <w:rPr>
                <w:rFonts w:ascii="Times New Roman" w:hAnsi="Times New Roman" w:cs="Times New Roman"/>
                <w:bCs/>
                <w:sz w:val="16"/>
                <w:szCs w:val="16"/>
              </w:rPr>
            </w:pPr>
            <w:r w:rsidRPr="00FE339C">
              <w:rPr>
                <w:rFonts w:ascii="Times New Roman" w:hAnsi="Times New Roman" w:cs="Times New Roman"/>
                <w:bCs/>
                <w:sz w:val="16"/>
                <w:szCs w:val="16"/>
              </w:rPr>
              <w:t>ПЛАТЕЖНОЕ ТРЕБОВАНИЕ</w:t>
            </w:r>
          </w:p>
        </w:tc>
        <w:tc>
          <w:tcPr>
            <w:tcW w:w="6468" w:type="dxa"/>
            <w:vMerge/>
            <w:tcBorders>
              <w:top w:val="single" w:sz="4" w:space="0" w:color="auto"/>
              <w:left w:val="single" w:sz="4" w:space="0" w:color="auto"/>
              <w:bottom w:val="single" w:sz="4" w:space="0" w:color="auto"/>
              <w:right w:val="single" w:sz="4" w:space="0" w:color="auto"/>
            </w:tcBorders>
          </w:tcPr>
          <w:p w:rsidR="00FE339C" w:rsidRPr="00FE339C" w:rsidRDefault="00FE339C" w:rsidP="00FA4BAE">
            <w:pPr>
              <w:autoSpaceDE w:val="0"/>
              <w:autoSpaceDN w:val="0"/>
              <w:adjustRightInd w:val="0"/>
              <w:spacing w:after="0" w:line="240" w:lineRule="auto"/>
              <w:jc w:val="both"/>
              <w:rPr>
                <w:rFonts w:ascii="Times New Roman" w:hAnsi="Times New Roman" w:cs="Times New Roman"/>
                <w:bCs/>
                <w:sz w:val="16"/>
                <w:szCs w:val="16"/>
              </w:rPr>
            </w:pP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2</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0401060</w:t>
            </w:r>
          </w:p>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0401071</w:t>
            </w:r>
          </w:p>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0401061</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 xml:space="preserve">Код формы по Общероссийскому </w:t>
            </w:r>
            <w:hyperlink r:id="rId7" w:history="1">
              <w:r w:rsidRPr="00A85B35">
                <w:rPr>
                  <w:rFonts w:ascii="Times New Roman" w:hAnsi="Times New Roman" w:cs="Times New Roman"/>
                  <w:bCs/>
                  <w:color w:val="0D0D0D" w:themeColor="text1" w:themeTint="F2"/>
                  <w:sz w:val="16"/>
                  <w:szCs w:val="16"/>
                </w:rPr>
                <w:t>классификатору</w:t>
              </w:r>
            </w:hyperlink>
            <w:r w:rsidRPr="00A85B35">
              <w:rPr>
                <w:rFonts w:ascii="Times New Roman" w:hAnsi="Times New Roman" w:cs="Times New Roman"/>
                <w:bCs/>
                <w:color w:val="0D0D0D" w:themeColor="text1" w:themeTint="F2"/>
                <w:sz w:val="16"/>
                <w:szCs w:val="16"/>
              </w:rPr>
              <w:t xml:space="preserve"> управленческой документации (далее - ОКУД), класс "Унифицированная система документации, устанавливаемой Банком России".</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 xml:space="preserve">Указывается код формы по </w:t>
            </w:r>
            <w:hyperlink r:id="rId8" w:history="1">
              <w:r w:rsidRPr="00A85B35">
                <w:rPr>
                  <w:rFonts w:ascii="Times New Roman" w:hAnsi="Times New Roman" w:cs="Times New Roman"/>
                  <w:bCs/>
                  <w:color w:val="0D0D0D" w:themeColor="text1" w:themeTint="F2"/>
                  <w:sz w:val="16"/>
                  <w:szCs w:val="16"/>
                </w:rPr>
                <w:t>ОКУД</w:t>
              </w:r>
            </w:hyperlink>
            <w:r w:rsidRPr="00A85B35">
              <w:rPr>
                <w:rFonts w:ascii="Times New Roman" w:hAnsi="Times New Roman" w:cs="Times New Roman"/>
                <w:bCs/>
                <w:color w:val="0D0D0D" w:themeColor="text1" w:themeTint="F2"/>
                <w:sz w:val="16"/>
                <w:szCs w:val="16"/>
              </w:rPr>
              <w:t xml:space="preserve"> в распоряжении на бумажном носителе</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3</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N</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Номер распоряжения.</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Указывается номер распоряжения цифрами, который должен быть отличен от нуля</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4</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Дата</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Дата составления распоряжения.</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Указывается дата составления распоряжения в распоряжении на бумажном носителе цифрами в формате ДД.ММ.ГГГГ, где ДД - день, ММ - месяц, ГГГГ - год, в распоряжении в электронном виде цифрами в формате, установленном банком (день - две цифры, месяц - две цифры, год - четыре цифры)</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5</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Вид платежа</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Указывается вид платежа, определяющий способ направления в банк и (или) исполнения банком распоряжения, в порядке, установленном банком, или реквизит не заполняется в случаях, установленных банком.</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распоряжении в электронном виде значение реквизита указывается в виде кода, установленного банком</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6</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Сумма прописью</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Сумма платежа прописью.</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распоряжении на бумажном носителе указывается с начала строки с заглавной буквы сумма платежа прописью в рублях, при этом слово "рубль" в соответствующем падеже не сокращается, копейки указываются цифрами, слово "копейка" в соответствующем падеже также не сокращается. В случае если сумма платежа прописью выражена в целых рублях, копейки можно не указывать, при этом в реквизите 7 "Сумма" указываются сумма платежа цифрами и символ "=" (равно).</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распоряжении на общую сумму на бумажном носителе указывается общая сумма платежа прописью, соответствующая общей сумме реестра (распоряжений)</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7</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Сумма</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Сумма платежа цифрами.</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распоряжении на бумажном носителе указывается сумма платежа цифрами, рубли отделяются от копеек символом "-" (тире).</w:t>
            </w:r>
          </w:p>
          <w:p w:rsidR="00FE339C" w:rsidRPr="00A85B35" w:rsidRDefault="00FE339C" w:rsidP="00FA4BAE">
            <w:pPr>
              <w:autoSpaceDE w:val="0"/>
              <w:autoSpaceDN w:val="0"/>
              <w:adjustRightInd w:val="0"/>
              <w:spacing w:after="0" w:line="240" w:lineRule="auto"/>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случае если сумма платежа цифрами выражена в целых рублях, копейки можно не указывать, в этом случае указываются сумма платежа цифрами и символ "=" (равно), при этом в реквизите 6 "Сумма прописью" указывается сумма платежа прописью в целых рублях.</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распоряжении в электронном виде сумма платежа цифрами указывается в формате, установленном банком.</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распоряжении на общую сумму указывается общая сумма платежа цифрами, соответствующая общей сумме реестра (распоряжений)</w:t>
            </w:r>
          </w:p>
        </w:tc>
      </w:tr>
      <w:tr w:rsidR="00FE339C" w:rsidRPr="00A85B35" w:rsidTr="00FE339C">
        <w:tc>
          <w:tcPr>
            <w:tcW w:w="1902" w:type="dxa"/>
            <w:tcBorders>
              <w:top w:val="single" w:sz="4" w:space="0" w:color="auto"/>
              <w:left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8</w:t>
            </w:r>
          </w:p>
        </w:tc>
        <w:tc>
          <w:tcPr>
            <w:tcW w:w="1978" w:type="dxa"/>
            <w:tcBorders>
              <w:top w:val="single" w:sz="4" w:space="0" w:color="auto"/>
              <w:left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Плательщик</w:t>
            </w:r>
          </w:p>
        </w:tc>
        <w:tc>
          <w:tcPr>
            <w:tcW w:w="6468" w:type="dxa"/>
            <w:tcBorders>
              <w:top w:val="single" w:sz="4" w:space="0" w:color="auto"/>
              <w:left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Указываются для юридических лиц, банков полное или сокращенное наименование; для физических лиц - полностью фамилия, имя, отчество (последнее - при наличии) (далее - Ф.И.О.); для индивидуальных предпринимателей - Ф.И.О. и правовой статус; для физических лиц, занимающихся в установленном законодательством Российской Федерации порядке частной практикой, - Ф.И.О. и вид деятельности (в платежном требовании также указывается идентификационный номер налогоплательщика (далее - ИНН) или код иностранной организации (далее - КИО) плательщика (при их наличии).</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 xml:space="preserve">В случаях, предусмотренных </w:t>
            </w:r>
            <w:hyperlink r:id="rId9" w:history="1">
              <w:r w:rsidRPr="00A85B35">
                <w:rPr>
                  <w:rFonts w:ascii="Times New Roman" w:hAnsi="Times New Roman" w:cs="Times New Roman"/>
                  <w:bCs/>
                  <w:color w:val="0D0D0D" w:themeColor="text1" w:themeTint="F2"/>
                  <w:sz w:val="16"/>
                  <w:szCs w:val="16"/>
                </w:rPr>
                <w:t>пунктом 1.1 статьи 7.2</w:t>
              </w:r>
            </w:hyperlink>
            <w:r w:rsidRPr="00A85B35">
              <w:rPr>
                <w:rFonts w:ascii="Times New Roman" w:hAnsi="Times New Roman" w:cs="Times New Roman"/>
                <w:bCs/>
                <w:color w:val="0D0D0D" w:themeColor="text1" w:themeTint="F2"/>
                <w:sz w:val="16"/>
                <w:szCs w:val="16"/>
              </w:rPr>
              <w:t xml:space="preserve"> Федерального закона от 7 августа 2001 года N 115-ФЗ, после наименования юридического лица указывается адрес его места нахождения, после Ф.И.О. физического лица, правового статуса индивидуального предпринимателя, вида деятельности физического лица, занимающегося в установленном </w:t>
            </w:r>
            <w:r w:rsidRPr="00A85B35">
              <w:rPr>
                <w:rFonts w:ascii="Times New Roman" w:hAnsi="Times New Roman" w:cs="Times New Roman"/>
                <w:bCs/>
                <w:color w:val="0D0D0D" w:themeColor="text1" w:themeTint="F2"/>
                <w:sz w:val="16"/>
                <w:szCs w:val="16"/>
              </w:rPr>
              <w:lastRenderedPageBreak/>
              <w:t>законодательством Российской Федерации порядке частной практикой, указывается адрес места жительства (регистрации) или места пребывания.</w:t>
            </w:r>
          </w:p>
        </w:tc>
      </w:tr>
      <w:tr w:rsidR="00FE339C" w:rsidRPr="00A85B35" w:rsidTr="00FE339C">
        <w:tc>
          <w:tcPr>
            <w:tcW w:w="1902" w:type="dxa"/>
            <w:tcBorders>
              <w:left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p>
        </w:tc>
        <w:tc>
          <w:tcPr>
            <w:tcW w:w="1978" w:type="dxa"/>
            <w:tcBorders>
              <w:left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p>
        </w:tc>
        <w:tc>
          <w:tcPr>
            <w:tcW w:w="6468" w:type="dxa"/>
            <w:tcBorders>
              <w:left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 xml:space="preserve">При переводе денежных средств по банковскому счету в случаях, предусмотренных </w:t>
            </w:r>
            <w:hyperlink r:id="rId10" w:history="1">
              <w:r w:rsidRPr="00A85B35">
                <w:rPr>
                  <w:rFonts w:ascii="Times New Roman" w:hAnsi="Times New Roman" w:cs="Times New Roman"/>
                  <w:bCs/>
                  <w:color w:val="0D0D0D" w:themeColor="text1" w:themeTint="F2"/>
                  <w:sz w:val="16"/>
                  <w:szCs w:val="16"/>
                </w:rPr>
                <w:t>статьей 7.2</w:t>
              </w:r>
            </w:hyperlink>
            <w:r w:rsidRPr="00A85B35">
              <w:rPr>
                <w:rFonts w:ascii="Times New Roman" w:hAnsi="Times New Roman" w:cs="Times New Roman"/>
                <w:bCs/>
                <w:color w:val="0D0D0D" w:themeColor="text1" w:themeTint="F2"/>
                <w:sz w:val="16"/>
                <w:szCs w:val="16"/>
              </w:rPr>
              <w:t xml:space="preserve"> Федерального закона от 7 августа 2001 года N 115-ФЗ, в реквизите 60 "ИНН" плательщика указывается ИНН (при его наличии) физического лица, индивидуального предпринимателя или физического лица, занимающегося в установленном законодательством Российской Федерации порядке частной практикой, либо в реквизите 8 "Плательщик" после Ф.И.О. физического лица, правового статуса индивидуального предпринимателя, вида деятельности физического лица, занимающегося в установленном законодательством Российской Федерации порядке частной практикой, указывается адрес места жительства (регистрации) или места пребывания.</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Для выделения информации об адресе места нахождения, адресе места жительства (регистрации) или места пребывания до и после адреса используется символ "//".</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 xml:space="preserve">При переводе денежных средств без открытия банковского счета указываются наименование кредитной организации (ее филиала) - отправителя распоряжения и информация о плательщике - физическом лице: Ф.И.О., ИНН (при наличии) и в случаях, предусмотренных </w:t>
            </w:r>
            <w:hyperlink r:id="rId11" w:history="1">
              <w:r w:rsidRPr="00A85B35">
                <w:rPr>
                  <w:rFonts w:ascii="Times New Roman" w:hAnsi="Times New Roman" w:cs="Times New Roman"/>
                  <w:bCs/>
                  <w:color w:val="0D0D0D" w:themeColor="text1" w:themeTint="F2"/>
                  <w:sz w:val="16"/>
                  <w:szCs w:val="16"/>
                </w:rPr>
                <w:t>статьей 7.2</w:t>
              </w:r>
            </w:hyperlink>
            <w:r w:rsidRPr="00A85B35">
              <w:rPr>
                <w:rFonts w:ascii="Times New Roman" w:hAnsi="Times New Roman" w:cs="Times New Roman"/>
                <w:bCs/>
                <w:color w:val="0D0D0D" w:themeColor="text1" w:themeTint="F2"/>
                <w:sz w:val="16"/>
                <w:szCs w:val="16"/>
              </w:rPr>
              <w:t xml:space="preserve"> Федерального закона от 7 августа 2001 года N 115-ФЗ, уникальный присваиваемый номер операции (при наличии), ИНН (при наличии) либо адрес места жительства (регистрации) или места пребывания. Требования, установленные настоящим абзацем для переводов денежных средств без открытия банковского счета, распространяются на переводы электронных денежных средств.</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Для выделения информации о плательщике - физическом лице используется символ "//".</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Информация о плательщике - физическом лице указывается в одной из следующих последовательностей:</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наименование кредитной организации (ее филиала) - отправителя распоряжения, символ "//", Ф.И.О. физического лица, символ "//", ИНН (при наличии) физического лица, символ "//";</w:t>
            </w:r>
          </w:p>
        </w:tc>
      </w:tr>
      <w:tr w:rsidR="00FE339C" w:rsidRPr="00A85B35" w:rsidTr="00FE339C">
        <w:tc>
          <w:tcPr>
            <w:tcW w:w="1902" w:type="dxa"/>
            <w:tcBorders>
              <w:left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p>
        </w:tc>
        <w:tc>
          <w:tcPr>
            <w:tcW w:w="1978" w:type="dxa"/>
            <w:tcBorders>
              <w:left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p>
        </w:tc>
        <w:tc>
          <w:tcPr>
            <w:tcW w:w="6468" w:type="dxa"/>
            <w:tcBorders>
              <w:left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наименование кредитной организации (ее филиала) - отправителя распоряжения, символ "//", Ф.И.О. физического лица, символ "//", уникальный присваиваемый номер операции (при наличии), символ "//", ИНН физического лица (при наличии), символ "//";</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наименование кредитной организации (ее филиала) - отправителя распоряжения, символ "//", Ф.И.О. физического лица, символ "//", уникальный присваиваемый номер операции (при наличии), символ "//", адрес места жительства (регистрации) или места пребывания, символ "//".</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При указании адреса допускается использовать сокращения, позволяющие определенно установить данную информацию.</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 xml:space="preserve">Ф.И.О. физического лица, ИНН (при наличии) физического лица могут не указываться при составлении кредитной организацией (ее филиалом) платежного поручения для исполнения переданного с использованием электронного средства платежа распоряжения, составленного в целях перевода денежных средств без открытия банковского счета, в случае непроведения идентификации физического лица в соответствии с Федеральным </w:t>
            </w:r>
            <w:hyperlink r:id="rId12" w:history="1">
              <w:r w:rsidRPr="00A85B35">
                <w:rPr>
                  <w:rFonts w:ascii="Times New Roman" w:hAnsi="Times New Roman" w:cs="Times New Roman"/>
                  <w:bCs/>
                  <w:color w:val="0D0D0D" w:themeColor="text1" w:themeTint="F2"/>
                  <w:sz w:val="16"/>
                  <w:szCs w:val="16"/>
                </w:rPr>
                <w:t>законом</w:t>
              </w:r>
            </w:hyperlink>
            <w:r w:rsidRPr="00A85B35">
              <w:rPr>
                <w:rFonts w:ascii="Times New Roman" w:hAnsi="Times New Roman" w:cs="Times New Roman"/>
                <w:bCs/>
                <w:color w:val="0D0D0D" w:themeColor="text1" w:themeTint="F2"/>
                <w:sz w:val="16"/>
                <w:szCs w:val="16"/>
              </w:rPr>
              <w:t xml:space="preserve"> от 7 августа 2001 года N 115-ФЗ (Собрание законодательства Российской Федерации, 2001, N 33, ст. 3418; "Официальный интернет-портал правовой информации" (</w:t>
            </w:r>
            <w:hyperlink r:id="rId13" w:history="1">
              <w:r w:rsidRPr="00A85B35">
                <w:rPr>
                  <w:rFonts w:ascii="Times New Roman" w:hAnsi="Times New Roman" w:cs="Times New Roman"/>
                  <w:bCs/>
                  <w:color w:val="0D0D0D" w:themeColor="text1" w:themeTint="F2"/>
                  <w:sz w:val="16"/>
                  <w:szCs w:val="16"/>
                </w:rPr>
                <w:t>www.pravo.gov.ru</w:t>
              </w:r>
            </w:hyperlink>
            <w:r w:rsidRPr="00A85B35">
              <w:rPr>
                <w:rFonts w:ascii="Times New Roman" w:hAnsi="Times New Roman" w:cs="Times New Roman"/>
                <w:bCs/>
                <w:color w:val="0D0D0D" w:themeColor="text1" w:themeTint="F2"/>
                <w:sz w:val="16"/>
                <w:szCs w:val="16"/>
              </w:rPr>
              <w:t>), 28 июня 2021 года).</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Дополнительно могут указываться номер счета клиента, наименование и место нахождения обслуживающей кредитной организации, филиала кредитной организации в случае, если перевод денежных средств клиента осуществляется через открытый в другой кредитной организации, другом филиале кредитной организации корреспондентский счет, или счет участника расчетов, или счет по учету внутрибанковских требований и обязательств, указанный в реквизите 9 "Сч. N" плательщика, или могут указываться наименование и место нахождения филиала кредитной организации, обслуживающего клиента, если номер счета клиента указан в реквизите 9 "Сч. N" плательщика и перевод денежных средств клиента осуществляется через счет по учету внутрибанковских требований и обязательств, при этом номер счета по учету внутрибанковских требований и обязательств филиала не указывается.</w:t>
            </w:r>
          </w:p>
        </w:tc>
      </w:tr>
      <w:tr w:rsidR="00FE339C" w:rsidRPr="00A85B35" w:rsidTr="00FE339C">
        <w:tc>
          <w:tcPr>
            <w:tcW w:w="1902" w:type="dxa"/>
            <w:tcBorders>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p>
        </w:tc>
        <w:tc>
          <w:tcPr>
            <w:tcW w:w="1978" w:type="dxa"/>
            <w:tcBorders>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p>
        </w:tc>
        <w:tc>
          <w:tcPr>
            <w:tcW w:w="6468" w:type="dxa"/>
            <w:tcBorders>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платежном поручении на общую сумму, составляемом кредитной организацией (ее филиалом) в целях исполнения распоряжений, принятых от физических лиц в целях перевода денежных средств без открытия банковского счета, указывается наименование кредитной организации (ее филиала).</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платежном поручении на общую сумму, составляемом банком плательщика в целях исполнения распоряжений, в которых указаны плательщики, обслуживаемые одним банком, и получатели средств, обслуживаемые другим банком, в платежном требовании на общую сумму с реестром, в котором указаны плательщики, обслуживаемые одним банком, составляемом получателем средств, указывается наименование банка, обслуживающего плательщиков.</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платежном поручении, составляемом в целях исполнения распоряжения, переданного с использованием электронного средства платежа, инкассовом поручении, платежном требовании, предъявляемым в целях перевода электронных денежных средств, проставляется идентификатор электронного средства платежа.</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После указания установленной настоящей графой информации также может указываться дополнительная информация, обеспечивающая возможность установить сведения о плательщике, при этом для выделения сведений используется символ "//"</w:t>
            </w:r>
          </w:p>
        </w:tc>
      </w:tr>
      <w:tr w:rsidR="00FE339C" w:rsidRPr="00A85B35" w:rsidTr="00FE339C">
        <w:tc>
          <w:tcPr>
            <w:tcW w:w="1902" w:type="dxa"/>
            <w:tcBorders>
              <w:top w:val="single" w:sz="4" w:space="0" w:color="auto"/>
              <w:left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lastRenderedPageBreak/>
              <w:t>9</w:t>
            </w:r>
          </w:p>
        </w:tc>
        <w:tc>
          <w:tcPr>
            <w:tcW w:w="1978" w:type="dxa"/>
            <w:tcBorders>
              <w:top w:val="single" w:sz="4" w:space="0" w:color="auto"/>
              <w:left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Сч. N</w:t>
            </w:r>
          </w:p>
        </w:tc>
        <w:tc>
          <w:tcPr>
            <w:tcW w:w="6468" w:type="dxa"/>
            <w:tcBorders>
              <w:top w:val="single" w:sz="4" w:space="0" w:color="auto"/>
              <w:left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Номер счета плательщика.</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 xml:space="preserve">Указывается номер счета плательщика в банке (за исключением корреспондентского счета кредитной организации, корреспондентского субсчета филиала кредитной организации, открытого в подразделении Банка России), сформированный в соответствии с планом счетов бухгалтерского учета в Банке России и порядком его применения, установленными нормативным актом Банка России, принятым в соответствии с </w:t>
            </w:r>
            <w:hyperlink r:id="rId14" w:history="1">
              <w:r w:rsidRPr="00A85B35">
                <w:rPr>
                  <w:rFonts w:ascii="Times New Roman" w:hAnsi="Times New Roman" w:cs="Times New Roman"/>
                  <w:bCs/>
                  <w:color w:val="0D0D0D" w:themeColor="text1" w:themeTint="F2"/>
                  <w:sz w:val="16"/>
                  <w:szCs w:val="16"/>
                </w:rPr>
                <w:t>пунктом 14 статьи 4</w:t>
              </w:r>
            </w:hyperlink>
            <w:r w:rsidRPr="00A85B35">
              <w:rPr>
                <w:rFonts w:ascii="Times New Roman" w:hAnsi="Times New Roman" w:cs="Times New Roman"/>
                <w:bCs/>
                <w:color w:val="0D0D0D" w:themeColor="text1" w:themeTint="F2"/>
                <w:sz w:val="16"/>
                <w:szCs w:val="16"/>
              </w:rPr>
              <w:t xml:space="preserve"> Федерального закона от 10 июля 2002 года N 86-ФЗ "О Центральном банке Российской Федерации (Банке России)" (далее - Федеральный закон от 10 июля 2002 года N 86-ФЗ), или Планом счетов бухгалтерского учета для кредитных организаций и порядком его применения, установленными </w:t>
            </w:r>
            <w:hyperlink r:id="rId15" w:history="1">
              <w:r w:rsidRPr="00A85B35">
                <w:rPr>
                  <w:rFonts w:ascii="Times New Roman" w:hAnsi="Times New Roman" w:cs="Times New Roman"/>
                  <w:bCs/>
                  <w:color w:val="0D0D0D" w:themeColor="text1" w:themeTint="F2"/>
                  <w:sz w:val="16"/>
                  <w:szCs w:val="16"/>
                </w:rPr>
                <w:t>Положением</w:t>
              </w:r>
            </w:hyperlink>
            <w:r w:rsidRPr="00A85B35">
              <w:rPr>
                <w:rFonts w:ascii="Times New Roman" w:hAnsi="Times New Roman" w:cs="Times New Roman"/>
                <w:bCs/>
                <w:color w:val="0D0D0D" w:themeColor="text1" w:themeTint="F2"/>
                <w:sz w:val="16"/>
                <w:szCs w:val="16"/>
              </w:rPr>
              <w:t xml:space="preserve"> Банка России от 27 февраля 2017 года N 579-П "О Плане счетов бухгалтерского учета для кредитных организаций и порядке его применения", зарегистрированным Министерством юстиции Российской Федерации 20 марта 2017 года N 46021, 20 июля 2017 года N 47474, 12 декабря 2017 года N 49220, 12 марта 2018 года N 50299, 3 декабря 2018 года N 52845, 16 января 2019 года N 53372, 26 марта 2019 года N 54165, 18 июня 2020 года N 58690, 14 октября 2020 года N 60381 (далее - Положение Банка России от 27 февраля 2017 года N 579-П).</w:t>
            </w:r>
          </w:p>
        </w:tc>
      </w:tr>
      <w:tr w:rsidR="00FE339C" w:rsidRPr="00A85B35" w:rsidTr="00FE339C">
        <w:tc>
          <w:tcPr>
            <w:tcW w:w="1902" w:type="dxa"/>
            <w:tcBorders>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p>
        </w:tc>
        <w:tc>
          <w:tcPr>
            <w:tcW w:w="1978" w:type="dxa"/>
            <w:tcBorders>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p>
        </w:tc>
        <w:tc>
          <w:tcPr>
            <w:tcW w:w="6468" w:type="dxa"/>
            <w:tcBorders>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Реквизит может не заполняться:</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распоряжении, если плательщиком является кредитная организация (ее филиал), составляемом в том числе в целях исполнения распоряжений, принятых от физических лиц в целях перевода денежных средств без открытия банковского счета;</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платежном поручении на общую сумму, составляемом кредитной организацией (ее филиалом) для исполнения распоряжений, принятых от физических лиц в целях перевода денежных средств без открытия банковского счета;</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платежном поручении на общую сумму, составляемом банком плательщика в целях исполнения распоряжений, в которых указаны плательщики, обслуживаемые одним банком, и получатели средств, обслуживаемые другим банком;</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платежном требовании на общую сумму с реестром, в котором указаны плательщики, обслуживаемые одним банком, составляемом получателем средств</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10</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Банк плательщика</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Указываются в распоряжении на бумажном носителе наименование и место нахождения банка плательщика</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11</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БИК</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Банковский идентификационный код (БИК) банка плательщика.</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 xml:space="preserve">Указывается БИК банка плательщика, присвоенный в соответствии с правилами платежной системы Банка России, определенными нормативным актом Банка России в соответствии с </w:t>
            </w:r>
            <w:hyperlink r:id="rId16" w:history="1">
              <w:r w:rsidRPr="00A85B35">
                <w:rPr>
                  <w:rFonts w:ascii="Times New Roman" w:hAnsi="Times New Roman" w:cs="Times New Roman"/>
                  <w:bCs/>
                  <w:color w:val="0D0D0D" w:themeColor="text1" w:themeTint="F2"/>
                  <w:sz w:val="16"/>
                  <w:szCs w:val="16"/>
                </w:rPr>
                <w:t>пунктом 9 статьи 20</w:t>
              </w:r>
            </w:hyperlink>
            <w:r w:rsidRPr="00A85B35">
              <w:rPr>
                <w:rFonts w:ascii="Times New Roman" w:hAnsi="Times New Roman" w:cs="Times New Roman"/>
                <w:bCs/>
                <w:color w:val="0D0D0D" w:themeColor="text1" w:themeTint="F2"/>
                <w:sz w:val="16"/>
                <w:szCs w:val="16"/>
              </w:rPr>
              <w:t xml:space="preserve"> Федерального закона от 27 июня 2011 года N 161-ФЗ (Собрание законодательства Российской Федерации, 2011, N 27, ст. 3872; 2019, N 31, ст. 4423) (далее - правила платежной системы Банка России)</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12</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Сч. N</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Номер счета банка плательщика.</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Указывается номер счета банка плательщика (номер корреспондентского счета кредитной организации, корреспондентского субсчета филиала кредитной организации, открытый в подразделении Банка России).</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Реквизит не заполняется в случае, если плательщик, не являющийся кредитной организацией (ее филиалом), обслуживается в подразделении Банка России или плательщиком является подразделение Банка России</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13</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Банк получателя</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Указываются в распоряжении на бумажном носителе наименование и место нахождения банка получателя средств</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14</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БИК</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Банковский идентификационный код (БИК) банка получателя средств.</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Указывается БИК банка получателя средств, присвоенный в соответствии с правилами платежной системы Банка России</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15</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Сч. N</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Номер счета банка получателя средств.</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Указывается номер счета банка получателя средств (номер корреспондентского счета кредитной организации, корреспондентского субсчета филиала кредитной организации, открытый в подразделении Банка России).</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Реквизит не заполняется в случае, если получатель средств, не являющийся кредитной организацией (ее филиалом), обслуживается в подразделении Банка России или получателем средств является подразделение Банка России, а также в случае перевода денежных средств кредитной организацией (ее филиалом) подразделению Банка России для выдачи наличных денежных средств филиалу кредитной организации, не имеющему корреспондентского субсчета</w:t>
            </w:r>
          </w:p>
        </w:tc>
      </w:tr>
      <w:tr w:rsidR="00FE339C" w:rsidRPr="00A85B35" w:rsidTr="00FE339C">
        <w:tc>
          <w:tcPr>
            <w:tcW w:w="1902" w:type="dxa"/>
            <w:tcBorders>
              <w:top w:val="single" w:sz="4" w:space="0" w:color="auto"/>
              <w:left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16</w:t>
            </w:r>
          </w:p>
        </w:tc>
        <w:tc>
          <w:tcPr>
            <w:tcW w:w="1978" w:type="dxa"/>
            <w:tcBorders>
              <w:top w:val="single" w:sz="4" w:space="0" w:color="auto"/>
              <w:left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Получатель</w:t>
            </w:r>
          </w:p>
        </w:tc>
        <w:tc>
          <w:tcPr>
            <w:tcW w:w="6468" w:type="dxa"/>
            <w:tcBorders>
              <w:top w:val="single" w:sz="4" w:space="0" w:color="auto"/>
              <w:left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Указываются для юридических лиц, банков полное или сокращенное наименование; для физических лиц - Ф.И.О.; для индивидуальных предпринимателей - Ф.И.О. и правовой статус; для физических лиц, занимающихся в установленном законодательством Российской Федерации порядке частной практикой, - Ф.И.О. и вид деятельности (в платежном требовании также указывается ИНН (при наличии) получателя средств).</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 xml:space="preserve">Дополнительно могут указываться номер счета клиента, наименование и место нахождения обслуживающей кредитной организации, филиала кредитной организации в случае, если перевод денежных средств клиента осуществляется через открытый в другой кредитной организации, другом филиале кредитной организации корреспондентский счет, или счет участника расчетов, или счет по учету внутрибанковских требований и </w:t>
            </w:r>
            <w:r w:rsidRPr="00A85B35">
              <w:rPr>
                <w:rFonts w:ascii="Times New Roman" w:hAnsi="Times New Roman" w:cs="Times New Roman"/>
                <w:bCs/>
                <w:color w:val="0D0D0D" w:themeColor="text1" w:themeTint="F2"/>
                <w:sz w:val="16"/>
                <w:szCs w:val="16"/>
              </w:rPr>
              <w:lastRenderedPageBreak/>
              <w:t>обязательств, указанный в реквизите 17 "Сч. N" получателя средств, или могут указываться наименование и место нахождения филиала кредитной организации, обслуживающего клиента, если номер счета клиента указан в реквизите 17 "Сч. N" получателя средств и перевод денежных средств клиента осуществляется через счет по учету внутрибанковских требований и обязательств, при этом номер счета по учету внутрибанковских требований и обязательств филиала кредитной организации не указывается.</w:t>
            </w:r>
          </w:p>
        </w:tc>
      </w:tr>
      <w:tr w:rsidR="00FE339C" w:rsidRPr="00A85B35" w:rsidTr="00FE339C">
        <w:tc>
          <w:tcPr>
            <w:tcW w:w="1902" w:type="dxa"/>
            <w:tcBorders>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p>
        </w:tc>
        <w:tc>
          <w:tcPr>
            <w:tcW w:w="1978" w:type="dxa"/>
            <w:tcBorders>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p>
        </w:tc>
        <w:tc>
          <w:tcPr>
            <w:tcW w:w="6468" w:type="dxa"/>
            <w:tcBorders>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платежном поручении на общую сумму с реестром, в котором указаны получатели средств, обслуживаемые одним банком, составляемом плательщиком, в платежном поручении на общую сумму, составляемом банком плательщика в целях исполнения распоряжений, в которых указаны плательщики, обслуживаемые одним банком, и получатели средств, обслуживаемые другим банком, указывается наименование банка, обслуживающего получателей средств.</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платежном поручении, составляемом в целях исполнения распоряжения, переданного с использованием электронного средства платежа, может проставляться идентификатор электронного средства платежа.</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После указания установленной настоящей графой информации также может указываться дополнительная информация, обеспечивающая возможность установить сведения о получателе средств, при этом для выделения сведений используется символ "//"</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17</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Сч. N</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Номер счета получателя средств.</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 xml:space="preserve">Указывается номер счета получателя средств в банке (за исключением корреспондентского счета кредитной организации, корреспондентского субсчета филиала кредитной организации, открытого в подразделении Банка России), сформированный в соответствии с планом счетов бухгалтерского учета в Банке России и порядком его применения, установленными нормативным актом Банка России, принятым в соответствии с </w:t>
            </w:r>
            <w:hyperlink r:id="rId17" w:history="1">
              <w:r w:rsidRPr="00A85B35">
                <w:rPr>
                  <w:rFonts w:ascii="Times New Roman" w:hAnsi="Times New Roman" w:cs="Times New Roman"/>
                  <w:bCs/>
                  <w:color w:val="0D0D0D" w:themeColor="text1" w:themeTint="F2"/>
                  <w:sz w:val="16"/>
                  <w:szCs w:val="16"/>
                </w:rPr>
                <w:t>пунктом 14 статьи 4</w:t>
              </w:r>
            </w:hyperlink>
            <w:r w:rsidRPr="00A85B35">
              <w:rPr>
                <w:rFonts w:ascii="Times New Roman" w:hAnsi="Times New Roman" w:cs="Times New Roman"/>
                <w:bCs/>
                <w:color w:val="0D0D0D" w:themeColor="text1" w:themeTint="F2"/>
                <w:sz w:val="16"/>
                <w:szCs w:val="16"/>
              </w:rPr>
              <w:t xml:space="preserve"> Федерального закона от 10 июля 2002 года N 86-ФЗ, или Планом счетов бухгалтерского учета для кредитных организаций и порядком его применения, установленными </w:t>
            </w:r>
            <w:hyperlink r:id="rId18" w:history="1">
              <w:r w:rsidRPr="00A85B35">
                <w:rPr>
                  <w:rFonts w:ascii="Times New Roman" w:hAnsi="Times New Roman" w:cs="Times New Roman"/>
                  <w:bCs/>
                  <w:color w:val="0D0D0D" w:themeColor="text1" w:themeTint="F2"/>
                  <w:sz w:val="16"/>
                  <w:szCs w:val="16"/>
                </w:rPr>
                <w:t>Положением</w:t>
              </w:r>
            </w:hyperlink>
            <w:r w:rsidRPr="00A85B35">
              <w:rPr>
                <w:rFonts w:ascii="Times New Roman" w:hAnsi="Times New Roman" w:cs="Times New Roman"/>
                <w:bCs/>
                <w:color w:val="0D0D0D" w:themeColor="text1" w:themeTint="F2"/>
                <w:sz w:val="16"/>
                <w:szCs w:val="16"/>
              </w:rPr>
              <w:t xml:space="preserve"> Банка России N 579-П.</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Реквизит может не заполняться:</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распоряжении, если получателем средств является кредитная организация, филиал кредитной организации, составляемом в том числе в целях выдачи наличных денежных средств получателю средств - физическому лицу без открытия банковского счета;</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платежном поручении на общую сумму с реестром, в котором указаны получатели средств, обслуживаемые одним банком, составляемом плательщиком;</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платежном поручении на общую сумму, составляемом банком плательщика в целях исполнения распоряжений, в которых указаны плательщики, обслуживаемые одним банком, и получатели средств, обслуживаемые другим банком</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18</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Вид оп.</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Вид операции.</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 xml:space="preserve">Указывается в соответствии с </w:t>
            </w:r>
            <w:hyperlink r:id="rId19" w:history="1">
              <w:r w:rsidRPr="00A85B35">
                <w:rPr>
                  <w:rFonts w:ascii="Times New Roman" w:hAnsi="Times New Roman" w:cs="Times New Roman"/>
                  <w:bCs/>
                  <w:color w:val="0D0D0D" w:themeColor="text1" w:themeTint="F2"/>
                  <w:sz w:val="16"/>
                  <w:szCs w:val="16"/>
                </w:rPr>
                <w:t>приложением 1</w:t>
              </w:r>
            </w:hyperlink>
            <w:r w:rsidRPr="00A85B35">
              <w:rPr>
                <w:rFonts w:ascii="Times New Roman" w:hAnsi="Times New Roman" w:cs="Times New Roman"/>
                <w:bCs/>
                <w:color w:val="0D0D0D" w:themeColor="text1" w:themeTint="F2"/>
                <w:sz w:val="16"/>
                <w:szCs w:val="16"/>
              </w:rPr>
              <w:t xml:space="preserve"> к приложению к Положению Банка России N 579-П следующий шифр:</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01 - платежное поручение;</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06 - инкассовое поручение;</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02 - платежное требование</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19</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Срок плат.</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Срок платежа.</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Реквизит не заполняется, если иное не установлено Банком России</w:t>
            </w:r>
          </w:p>
        </w:tc>
      </w:tr>
      <w:tr w:rsidR="00FE339C" w:rsidRPr="00A85B35" w:rsidTr="00FE339C">
        <w:tc>
          <w:tcPr>
            <w:tcW w:w="1902" w:type="dxa"/>
            <w:tcBorders>
              <w:top w:val="single" w:sz="4" w:space="0" w:color="auto"/>
              <w:left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20</w:t>
            </w:r>
          </w:p>
        </w:tc>
        <w:tc>
          <w:tcPr>
            <w:tcW w:w="1978" w:type="dxa"/>
            <w:tcBorders>
              <w:top w:val="single" w:sz="4" w:space="0" w:color="auto"/>
              <w:left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Наз. пл.</w:t>
            </w:r>
          </w:p>
        </w:tc>
        <w:tc>
          <w:tcPr>
            <w:tcW w:w="6468" w:type="dxa"/>
            <w:tcBorders>
              <w:top w:val="single" w:sz="4" w:space="0" w:color="auto"/>
              <w:left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540"/>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Назначение платежа кодовое.</w:t>
            </w:r>
          </w:p>
          <w:p w:rsidR="00FE339C" w:rsidRPr="00A85B35" w:rsidRDefault="00FE339C" w:rsidP="00FA4BAE">
            <w:pPr>
              <w:autoSpaceDE w:val="0"/>
              <w:autoSpaceDN w:val="0"/>
              <w:adjustRightInd w:val="0"/>
              <w:spacing w:after="0" w:line="240" w:lineRule="auto"/>
              <w:ind w:firstLine="540"/>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Указывается лицами, выплачивающими гражданину заработную плату и (или) иные доходы, с учетом единовременного или периодического характера выплат один из следующих кодов вида дохода:</w:t>
            </w:r>
          </w:p>
          <w:p w:rsidR="00FE339C" w:rsidRPr="00A85B35" w:rsidRDefault="00FE339C" w:rsidP="00FA4BAE">
            <w:pPr>
              <w:autoSpaceDE w:val="0"/>
              <w:autoSpaceDN w:val="0"/>
              <w:adjustRightInd w:val="0"/>
              <w:spacing w:after="0" w:line="240" w:lineRule="auto"/>
              <w:ind w:firstLine="540"/>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 xml:space="preserve">1 - перевод денежных средств, являющихся заработной платой и (или) иными доходами, в отношении которых </w:t>
            </w:r>
            <w:hyperlink r:id="rId20" w:history="1">
              <w:r w:rsidRPr="00A85B35">
                <w:rPr>
                  <w:rFonts w:ascii="Times New Roman" w:hAnsi="Times New Roman" w:cs="Times New Roman"/>
                  <w:bCs/>
                  <w:color w:val="0D0D0D" w:themeColor="text1" w:themeTint="F2"/>
                  <w:sz w:val="16"/>
                  <w:szCs w:val="16"/>
                </w:rPr>
                <w:t>статьей 99</w:t>
              </w:r>
            </w:hyperlink>
            <w:r w:rsidRPr="00A85B35">
              <w:rPr>
                <w:rFonts w:ascii="Times New Roman" w:hAnsi="Times New Roman" w:cs="Times New Roman"/>
                <w:bCs/>
                <w:color w:val="0D0D0D" w:themeColor="text1" w:themeTint="F2"/>
                <w:sz w:val="16"/>
                <w:szCs w:val="16"/>
              </w:rPr>
              <w:t xml:space="preserve"> Федерального закона от 2 октября 2007 года N 229-ФЗ </w:t>
            </w:r>
            <w:hyperlink w:anchor="Par260" w:history="1">
              <w:r w:rsidRPr="00A85B35">
                <w:rPr>
                  <w:rFonts w:ascii="Times New Roman" w:hAnsi="Times New Roman" w:cs="Times New Roman"/>
                  <w:bCs/>
                  <w:color w:val="0D0D0D" w:themeColor="text1" w:themeTint="F2"/>
                  <w:sz w:val="16"/>
                  <w:szCs w:val="16"/>
                </w:rPr>
                <w:t>&lt;1&gt;</w:t>
              </w:r>
            </w:hyperlink>
            <w:r w:rsidRPr="00A85B35">
              <w:rPr>
                <w:rFonts w:ascii="Times New Roman" w:hAnsi="Times New Roman" w:cs="Times New Roman"/>
                <w:bCs/>
                <w:color w:val="0D0D0D" w:themeColor="text1" w:themeTint="F2"/>
                <w:sz w:val="16"/>
                <w:szCs w:val="16"/>
              </w:rPr>
              <w:t xml:space="preserve"> установлены ограничения размеров удержания;</w:t>
            </w:r>
          </w:p>
          <w:p w:rsidR="00FE339C" w:rsidRPr="00A85B35" w:rsidRDefault="00FE339C" w:rsidP="00FA4BAE">
            <w:pPr>
              <w:autoSpaceDE w:val="0"/>
              <w:autoSpaceDN w:val="0"/>
              <w:adjustRightInd w:val="0"/>
              <w:spacing w:after="0" w:line="240" w:lineRule="auto"/>
              <w:ind w:firstLine="540"/>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 xml:space="preserve">2 - перевод денежных средств, являющихся доходами, на которые в соответствии с </w:t>
            </w:r>
            <w:hyperlink r:id="rId21" w:history="1">
              <w:r w:rsidRPr="00A85B35">
                <w:rPr>
                  <w:rFonts w:ascii="Times New Roman" w:hAnsi="Times New Roman" w:cs="Times New Roman"/>
                  <w:bCs/>
                  <w:color w:val="0D0D0D" w:themeColor="text1" w:themeTint="F2"/>
                  <w:sz w:val="16"/>
                  <w:szCs w:val="16"/>
                </w:rPr>
                <w:t>частью 1 статьи 101</w:t>
              </w:r>
            </w:hyperlink>
            <w:r w:rsidRPr="00A85B35">
              <w:rPr>
                <w:rFonts w:ascii="Times New Roman" w:hAnsi="Times New Roman" w:cs="Times New Roman"/>
                <w:bCs/>
                <w:color w:val="0D0D0D" w:themeColor="text1" w:themeTint="F2"/>
                <w:sz w:val="16"/>
                <w:szCs w:val="16"/>
              </w:rPr>
              <w:t xml:space="preserve"> Федерального закона от 2 октября 2007 года N 229-ФЗ </w:t>
            </w:r>
            <w:hyperlink w:anchor="Par262" w:history="1">
              <w:r w:rsidRPr="00A85B35">
                <w:rPr>
                  <w:rFonts w:ascii="Times New Roman" w:hAnsi="Times New Roman" w:cs="Times New Roman"/>
                  <w:bCs/>
                  <w:color w:val="0D0D0D" w:themeColor="text1" w:themeTint="F2"/>
                  <w:sz w:val="16"/>
                  <w:szCs w:val="16"/>
                </w:rPr>
                <w:t>&lt;2&gt;</w:t>
              </w:r>
            </w:hyperlink>
            <w:r w:rsidRPr="00A85B35">
              <w:rPr>
                <w:rFonts w:ascii="Times New Roman" w:hAnsi="Times New Roman" w:cs="Times New Roman"/>
                <w:bCs/>
                <w:color w:val="0D0D0D" w:themeColor="text1" w:themeTint="F2"/>
                <w:sz w:val="16"/>
                <w:szCs w:val="16"/>
              </w:rPr>
              <w:t xml:space="preserve"> не может быть обращено взыскание и которые имеют характер периодических выплат, за исключением доходов, к которым в соответствии с </w:t>
            </w:r>
            <w:hyperlink r:id="rId22" w:history="1">
              <w:r w:rsidRPr="00A85B35">
                <w:rPr>
                  <w:rFonts w:ascii="Times New Roman" w:hAnsi="Times New Roman" w:cs="Times New Roman"/>
                  <w:bCs/>
                  <w:color w:val="0D0D0D" w:themeColor="text1" w:themeTint="F2"/>
                  <w:sz w:val="16"/>
                  <w:szCs w:val="16"/>
                </w:rPr>
                <w:t>частью 2 статьи 101</w:t>
              </w:r>
            </w:hyperlink>
            <w:r w:rsidRPr="00A85B35">
              <w:rPr>
                <w:rFonts w:ascii="Times New Roman" w:hAnsi="Times New Roman" w:cs="Times New Roman"/>
                <w:bCs/>
                <w:color w:val="0D0D0D" w:themeColor="text1" w:themeTint="F2"/>
                <w:sz w:val="16"/>
                <w:szCs w:val="16"/>
              </w:rPr>
              <w:t xml:space="preserve"> Федерального закона от 2 октября 2007 года N 229-ФЗ </w:t>
            </w:r>
            <w:hyperlink w:anchor="Par264" w:history="1">
              <w:r w:rsidRPr="00A85B35">
                <w:rPr>
                  <w:rFonts w:ascii="Times New Roman" w:hAnsi="Times New Roman" w:cs="Times New Roman"/>
                  <w:bCs/>
                  <w:color w:val="0D0D0D" w:themeColor="text1" w:themeTint="F2"/>
                  <w:sz w:val="16"/>
                  <w:szCs w:val="16"/>
                </w:rPr>
                <w:t>&lt;3&gt;</w:t>
              </w:r>
            </w:hyperlink>
            <w:r w:rsidRPr="00A85B35">
              <w:rPr>
                <w:rFonts w:ascii="Times New Roman" w:hAnsi="Times New Roman" w:cs="Times New Roman"/>
                <w:bCs/>
                <w:color w:val="0D0D0D" w:themeColor="text1" w:themeTint="F2"/>
                <w:sz w:val="16"/>
                <w:szCs w:val="16"/>
              </w:rPr>
              <w:t xml:space="preserve"> ограничения по обращению взыскания не применяются;</w:t>
            </w:r>
          </w:p>
          <w:p w:rsidR="00FE339C" w:rsidRPr="00A85B35" w:rsidRDefault="00FE339C" w:rsidP="00FA4BAE">
            <w:pPr>
              <w:autoSpaceDE w:val="0"/>
              <w:autoSpaceDN w:val="0"/>
              <w:adjustRightInd w:val="0"/>
              <w:spacing w:after="0" w:line="240" w:lineRule="auto"/>
              <w:ind w:firstLine="540"/>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 xml:space="preserve">3 - перевод денежных средств, являющихся доходами, к которым в соответствии с </w:t>
            </w:r>
            <w:hyperlink r:id="rId23" w:history="1">
              <w:r w:rsidRPr="00A85B35">
                <w:rPr>
                  <w:rFonts w:ascii="Times New Roman" w:hAnsi="Times New Roman" w:cs="Times New Roman"/>
                  <w:bCs/>
                  <w:color w:val="0D0D0D" w:themeColor="text1" w:themeTint="F2"/>
                  <w:sz w:val="16"/>
                  <w:szCs w:val="16"/>
                </w:rPr>
                <w:t>частью 2 статьи 101</w:t>
              </w:r>
            </w:hyperlink>
            <w:r w:rsidRPr="00A85B35">
              <w:rPr>
                <w:rFonts w:ascii="Times New Roman" w:hAnsi="Times New Roman" w:cs="Times New Roman"/>
                <w:bCs/>
                <w:color w:val="0D0D0D" w:themeColor="text1" w:themeTint="F2"/>
                <w:sz w:val="16"/>
                <w:szCs w:val="16"/>
              </w:rPr>
              <w:t xml:space="preserve"> Федерального закона от 2 октября 2007 года N 229-ФЗ ограничения по обращению взыскания не применяются и которые имеют характер периодических выплат;</w:t>
            </w:r>
          </w:p>
          <w:p w:rsidR="00FE339C" w:rsidRPr="00A85B35" w:rsidRDefault="00FE339C" w:rsidP="00FA4BAE">
            <w:pPr>
              <w:autoSpaceDE w:val="0"/>
              <w:autoSpaceDN w:val="0"/>
              <w:adjustRightInd w:val="0"/>
              <w:spacing w:after="0" w:line="240" w:lineRule="auto"/>
              <w:ind w:firstLine="540"/>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 xml:space="preserve">4 - перевод денежных средств, являющихся доходами, на которые в соответствии с </w:t>
            </w:r>
            <w:hyperlink r:id="rId24" w:history="1">
              <w:r w:rsidRPr="00A85B35">
                <w:rPr>
                  <w:rFonts w:ascii="Times New Roman" w:hAnsi="Times New Roman" w:cs="Times New Roman"/>
                  <w:bCs/>
                  <w:color w:val="0D0D0D" w:themeColor="text1" w:themeTint="F2"/>
                  <w:sz w:val="16"/>
                  <w:szCs w:val="16"/>
                </w:rPr>
                <w:t>частью 1 статьи 101</w:t>
              </w:r>
            </w:hyperlink>
            <w:r w:rsidRPr="00A85B35">
              <w:rPr>
                <w:rFonts w:ascii="Times New Roman" w:hAnsi="Times New Roman" w:cs="Times New Roman"/>
                <w:bCs/>
                <w:color w:val="0D0D0D" w:themeColor="text1" w:themeTint="F2"/>
                <w:sz w:val="16"/>
                <w:szCs w:val="16"/>
              </w:rPr>
              <w:t xml:space="preserve"> Федерального закона от 2 октября 2007 года N 229-ФЗ не может быть обращено взыскание и которые имеют характер единовременных выплат, за исключением доходов, к которым в соответствии с </w:t>
            </w:r>
            <w:hyperlink r:id="rId25" w:history="1">
              <w:r w:rsidRPr="00A85B35">
                <w:rPr>
                  <w:rFonts w:ascii="Times New Roman" w:hAnsi="Times New Roman" w:cs="Times New Roman"/>
                  <w:bCs/>
                  <w:color w:val="0D0D0D" w:themeColor="text1" w:themeTint="F2"/>
                  <w:sz w:val="16"/>
                  <w:szCs w:val="16"/>
                </w:rPr>
                <w:t>частью 2 статьи 101</w:t>
              </w:r>
            </w:hyperlink>
            <w:r w:rsidRPr="00A85B35">
              <w:rPr>
                <w:rFonts w:ascii="Times New Roman" w:hAnsi="Times New Roman" w:cs="Times New Roman"/>
                <w:bCs/>
                <w:color w:val="0D0D0D" w:themeColor="text1" w:themeTint="F2"/>
                <w:sz w:val="16"/>
                <w:szCs w:val="16"/>
              </w:rPr>
              <w:t xml:space="preserve"> Федерального закона от 2 октября 2007 года N 229-ФЗ ограничения по обращению взыскания не применяются;</w:t>
            </w:r>
          </w:p>
          <w:p w:rsidR="00FE339C" w:rsidRPr="00A85B35" w:rsidRDefault="00FE339C" w:rsidP="00FA4BAE">
            <w:pPr>
              <w:autoSpaceDE w:val="0"/>
              <w:autoSpaceDN w:val="0"/>
              <w:adjustRightInd w:val="0"/>
              <w:spacing w:after="0" w:line="240" w:lineRule="auto"/>
              <w:ind w:firstLine="540"/>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 xml:space="preserve">5 - перевод денежных средств, являющихся доходами, к которым в соответствии с </w:t>
            </w:r>
            <w:hyperlink r:id="rId26" w:history="1">
              <w:r w:rsidRPr="00A85B35">
                <w:rPr>
                  <w:rFonts w:ascii="Times New Roman" w:hAnsi="Times New Roman" w:cs="Times New Roman"/>
                  <w:bCs/>
                  <w:color w:val="0D0D0D" w:themeColor="text1" w:themeTint="F2"/>
                  <w:sz w:val="16"/>
                  <w:szCs w:val="16"/>
                </w:rPr>
                <w:t>частью 2 статьи 101</w:t>
              </w:r>
            </w:hyperlink>
            <w:r w:rsidRPr="00A85B35">
              <w:rPr>
                <w:rFonts w:ascii="Times New Roman" w:hAnsi="Times New Roman" w:cs="Times New Roman"/>
                <w:bCs/>
                <w:color w:val="0D0D0D" w:themeColor="text1" w:themeTint="F2"/>
                <w:sz w:val="16"/>
                <w:szCs w:val="16"/>
              </w:rPr>
              <w:t xml:space="preserve"> Федерального закона от 2 октября 2007 года N 229-ФЗ ограничения по обращению взыскания не применяются и которые имеют характер единовременных выплат.</w:t>
            </w:r>
          </w:p>
          <w:p w:rsidR="00FE339C" w:rsidRPr="00A85B35" w:rsidRDefault="00FE339C" w:rsidP="00FA4BAE">
            <w:pPr>
              <w:autoSpaceDE w:val="0"/>
              <w:autoSpaceDN w:val="0"/>
              <w:adjustRightInd w:val="0"/>
              <w:spacing w:after="0" w:line="240" w:lineRule="auto"/>
              <w:ind w:firstLine="540"/>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 xml:space="preserve">При переводе денежных средств, не являющихся доходами, в отношении которых </w:t>
            </w:r>
            <w:hyperlink r:id="rId27" w:history="1">
              <w:r w:rsidRPr="00A85B35">
                <w:rPr>
                  <w:rFonts w:ascii="Times New Roman" w:hAnsi="Times New Roman" w:cs="Times New Roman"/>
                  <w:bCs/>
                  <w:color w:val="0D0D0D" w:themeColor="text1" w:themeTint="F2"/>
                  <w:sz w:val="16"/>
                  <w:szCs w:val="16"/>
                </w:rPr>
                <w:t>статьей 99</w:t>
              </w:r>
            </w:hyperlink>
            <w:r w:rsidRPr="00A85B35">
              <w:rPr>
                <w:rFonts w:ascii="Times New Roman" w:hAnsi="Times New Roman" w:cs="Times New Roman"/>
                <w:bCs/>
                <w:color w:val="0D0D0D" w:themeColor="text1" w:themeTint="F2"/>
                <w:sz w:val="16"/>
                <w:szCs w:val="16"/>
              </w:rPr>
              <w:t xml:space="preserve"> Федерального закона от 2 октября 2007 года N 229-ФЗ установлены ограничения и (или) на которые в соответствии со </w:t>
            </w:r>
            <w:hyperlink r:id="rId28" w:history="1">
              <w:r w:rsidRPr="00A85B35">
                <w:rPr>
                  <w:rFonts w:ascii="Times New Roman" w:hAnsi="Times New Roman" w:cs="Times New Roman"/>
                  <w:bCs/>
                  <w:color w:val="0D0D0D" w:themeColor="text1" w:themeTint="F2"/>
                  <w:sz w:val="16"/>
                  <w:szCs w:val="16"/>
                </w:rPr>
                <w:t>статьей 101</w:t>
              </w:r>
            </w:hyperlink>
            <w:r w:rsidRPr="00A85B35">
              <w:rPr>
                <w:rFonts w:ascii="Times New Roman" w:hAnsi="Times New Roman" w:cs="Times New Roman"/>
                <w:bCs/>
                <w:color w:val="0D0D0D" w:themeColor="text1" w:themeTint="F2"/>
                <w:sz w:val="16"/>
                <w:szCs w:val="16"/>
              </w:rPr>
              <w:t xml:space="preserve"> Федерального закона от 2 октября 2007 года N 229-ФЗ </w:t>
            </w:r>
            <w:hyperlink w:anchor="Par266" w:history="1">
              <w:r w:rsidRPr="00A85B35">
                <w:rPr>
                  <w:rFonts w:ascii="Times New Roman" w:hAnsi="Times New Roman" w:cs="Times New Roman"/>
                  <w:bCs/>
                  <w:color w:val="0D0D0D" w:themeColor="text1" w:themeTint="F2"/>
                  <w:sz w:val="16"/>
                  <w:szCs w:val="16"/>
                </w:rPr>
                <w:t>&lt;4&gt;</w:t>
              </w:r>
            </w:hyperlink>
            <w:r w:rsidRPr="00A85B35">
              <w:rPr>
                <w:rFonts w:ascii="Times New Roman" w:hAnsi="Times New Roman" w:cs="Times New Roman"/>
                <w:bCs/>
                <w:color w:val="0D0D0D" w:themeColor="text1" w:themeTint="F2"/>
                <w:sz w:val="16"/>
                <w:szCs w:val="16"/>
              </w:rPr>
              <w:t xml:space="preserve"> не может быть обращено взыскание, код вида дохода не указывается</w:t>
            </w:r>
          </w:p>
        </w:tc>
      </w:tr>
      <w:tr w:rsidR="00FE339C" w:rsidRPr="00A85B35" w:rsidTr="00FE339C">
        <w:tc>
          <w:tcPr>
            <w:tcW w:w="10348" w:type="dxa"/>
            <w:gridSpan w:val="3"/>
            <w:tcBorders>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jc w:val="both"/>
              <w:rPr>
                <w:rFonts w:ascii="Times New Roman" w:hAnsi="Times New Roman" w:cs="Times New Roman"/>
                <w:bCs/>
                <w:color w:val="0D0D0D" w:themeColor="text1" w:themeTint="F2"/>
                <w:sz w:val="16"/>
                <w:szCs w:val="16"/>
              </w:rPr>
            </w:pP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21</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Очер. плат.</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Очередность платежа.</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 xml:space="preserve">Указывается очередность платежа цифрой в соответствии с </w:t>
            </w:r>
            <w:hyperlink r:id="rId29" w:history="1">
              <w:r w:rsidRPr="00A85B35">
                <w:rPr>
                  <w:rFonts w:ascii="Times New Roman" w:hAnsi="Times New Roman" w:cs="Times New Roman"/>
                  <w:bCs/>
                  <w:color w:val="0D0D0D" w:themeColor="text1" w:themeTint="F2"/>
                  <w:sz w:val="16"/>
                  <w:szCs w:val="16"/>
                </w:rPr>
                <w:t>частью 2 статьи 855</w:t>
              </w:r>
            </w:hyperlink>
            <w:r w:rsidRPr="00A85B35">
              <w:rPr>
                <w:rFonts w:ascii="Times New Roman" w:hAnsi="Times New Roman" w:cs="Times New Roman"/>
                <w:bCs/>
                <w:color w:val="0D0D0D" w:themeColor="text1" w:themeTint="F2"/>
                <w:sz w:val="16"/>
                <w:szCs w:val="16"/>
              </w:rPr>
              <w:t xml:space="preserve"> Гражданского кодекса Российской Федерации</w:t>
            </w:r>
            <w:r w:rsidR="00280F15" w:rsidRPr="00A85B35">
              <w:rPr>
                <w:rStyle w:val="a6"/>
                <w:rFonts w:ascii="Times New Roman" w:hAnsi="Times New Roman" w:cs="Times New Roman"/>
                <w:bCs/>
                <w:color w:val="0D0D0D" w:themeColor="text1" w:themeTint="F2"/>
                <w:sz w:val="16"/>
                <w:szCs w:val="16"/>
              </w:rPr>
              <w:footnoteReference w:id="2"/>
            </w:r>
            <w:r w:rsidRPr="00A85B35">
              <w:rPr>
                <w:rFonts w:ascii="Times New Roman" w:hAnsi="Times New Roman" w:cs="Times New Roman"/>
                <w:bCs/>
                <w:color w:val="0D0D0D" w:themeColor="text1" w:themeTint="F2"/>
                <w:sz w:val="16"/>
                <w:szCs w:val="16"/>
              </w:rPr>
              <w:t xml:space="preserve"> или не указывается в случаях, установленных Банком России</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22</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Код</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Указывается уникальный идентификатор платежа в соответствии с законодательством Российской Федерации или в случае его присвоения получателем средств</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23</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Рез. поле</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Резервное поле.</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Указывается признак условий перевода, в том числе в виде кода</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24</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Назначение платежа</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Указываются назначение платежа, наименование товаров, работ, услуг, номера и даты договоров, товарных документов, а также может указываться другая информация, в том числе в соответствии с законодательством, включая налог на добавленную стоимость (далее - НДС).</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 xml:space="preserve">В платежном поручении в случаях, установленных </w:t>
            </w:r>
            <w:hyperlink r:id="rId30" w:history="1">
              <w:r w:rsidRPr="00A85B35">
                <w:rPr>
                  <w:rFonts w:ascii="Times New Roman" w:hAnsi="Times New Roman" w:cs="Times New Roman"/>
                  <w:bCs/>
                  <w:color w:val="0D0D0D" w:themeColor="text1" w:themeTint="F2"/>
                  <w:sz w:val="16"/>
                  <w:szCs w:val="16"/>
                </w:rPr>
                <w:t>частью 3 статьи 98</w:t>
              </w:r>
            </w:hyperlink>
            <w:r w:rsidRPr="00A85B35">
              <w:rPr>
                <w:rFonts w:ascii="Times New Roman" w:hAnsi="Times New Roman" w:cs="Times New Roman"/>
                <w:bCs/>
                <w:color w:val="0D0D0D" w:themeColor="text1" w:themeTint="F2"/>
                <w:sz w:val="16"/>
                <w:szCs w:val="16"/>
              </w:rPr>
              <w:t xml:space="preserve"> Федерального закона от 2 октября 2007 года N 229-ФЗ, указывается сумма, взысканная по исполнительному документу, в следующей последовательности: символ "//", "ВЗС" (взысканная сумма), символ "//", сумма цифрами, символ "//". При указании суммы цифрами рубли отделяются от копеек символом "-" (тире); если взысканная сумма выражена в целых рублях, то после символа "-" (тире) указывается "00".</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инкассовом поручении при взыскании денежных средств на основании федеральных законов указываются наименование взыскания, дата, номер и статья федерального закона, предусматривающего право взыскания денежных средств, номер и дата решения о взыскании денежных средств, если принятие такого решения предусмотрено федеральными законами, при взыскании денежных средств на основании исполнительных документов - наименование органа, выдавшего исполнительный документ, дата выдачи исполнительного документа, номер дела или материалов, на основании которых выдан исполнительный документ.</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платежном поручении на общую сумму, платежном требовании на общую сумму с реестром делается ссылка на реестр (приложение) и общее количество распоряжений, включенных в реестр (приложение), при этом до и после слова "реестр" ("приложение") указывается символ "//"</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35</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Условие оплаты</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Указывается цифра 1 (заранее данный акцепт плательщика) или цифра 2 (требуется получение акцепта плательщика)</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36</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Срок для акцепта</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Указывается количество дней для получения акцепта плательщика.</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При отсутствии указания срока для акцепта таким сроком считаются пять рабочих дней, если более короткий срок не предусмотрен договором, заключенным между банком плательщика и плательщиком.</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платежном требовании в случае заранее данного акцепта плательщика и в платежном требовании на общую сумму с реестром значение реквизита не указывается</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lastRenderedPageBreak/>
              <w:t>37</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Дата отсылки (вручения) плательщику предусмотренных договором документов</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Указывается в порядке, установленном для реквизита 4 "Дата", дата отсылки (вручения) плательщику предусмотренных договором документов в случае, если эти документы были отосланы (вручены) получателем средств плательщику.</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платежном требовании на общую сумму с реестром реквизит не заполняется</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60</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ИНН</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ИНН плательщика.</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Указываются ИНН или КИО плательщика при их наличии</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61</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ИНН</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ИНН получателя средств.</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Указываются ИНН или КИО получателя средств при их наличии</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101 - 109</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 xml:space="preserve">Указывается информация в соответствии с требованиями нормативных правовых актов, принятых на основании </w:t>
            </w:r>
            <w:hyperlink r:id="rId31" w:history="1">
              <w:r w:rsidRPr="00A85B35">
                <w:rPr>
                  <w:rFonts w:ascii="Times New Roman" w:hAnsi="Times New Roman" w:cs="Times New Roman"/>
                  <w:bCs/>
                  <w:color w:val="0D0D0D" w:themeColor="text1" w:themeTint="F2"/>
                  <w:sz w:val="16"/>
                  <w:szCs w:val="16"/>
                </w:rPr>
                <w:t>части 1 статьи 8</w:t>
              </w:r>
            </w:hyperlink>
            <w:r w:rsidRPr="00A85B35">
              <w:rPr>
                <w:rFonts w:ascii="Times New Roman" w:hAnsi="Times New Roman" w:cs="Times New Roman"/>
                <w:bCs/>
                <w:color w:val="0D0D0D" w:themeColor="text1" w:themeTint="F2"/>
                <w:sz w:val="16"/>
                <w:szCs w:val="16"/>
              </w:rPr>
              <w:t xml:space="preserve"> Федерального закона от 27 июня 2011 года N 161-ФЗ Министерством финансов Российской Федерации по согласованию с Банком России</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110</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Код выплат</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 xml:space="preserve">Указывается код выплат "1" при переводе денежных средств физическим лицам в целях осуществления выплат за счет средств бюджетов бюджетной системы Российской Федерации, предусмотренных </w:t>
            </w:r>
            <w:hyperlink r:id="rId32" w:history="1">
              <w:r w:rsidRPr="00A85B35">
                <w:rPr>
                  <w:rFonts w:ascii="Times New Roman" w:hAnsi="Times New Roman" w:cs="Times New Roman"/>
                  <w:bCs/>
                  <w:color w:val="0D0D0D" w:themeColor="text1" w:themeTint="F2"/>
                  <w:sz w:val="16"/>
                  <w:szCs w:val="16"/>
                </w:rPr>
                <w:t>частями 5.5</w:t>
              </w:r>
            </w:hyperlink>
            <w:r w:rsidRPr="00A85B35">
              <w:rPr>
                <w:rFonts w:ascii="Times New Roman" w:hAnsi="Times New Roman" w:cs="Times New Roman"/>
                <w:bCs/>
                <w:color w:val="0D0D0D" w:themeColor="text1" w:themeTint="F2"/>
                <w:sz w:val="16"/>
                <w:szCs w:val="16"/>
              </w:rPr>
              <w:t xml:space="preserve"> и </w:t>
            </w:r>
            <w:hyperlink r:id="rId33" w:history="1">
              <w:r w:rsidRPr="00A85B35">
                <w:rPr>
                  <w:rFonts w:ascii="Times New Roman" w:hAnsi="Times New Roman" w:cs="Times New Roman"/>
                  <w:bCs/>
                  <w:color w:val="0D0D0D" w:themeColor="text1" w:themeTint="F2"/>
                  <w:sz w:val="16"/>
                  <w:szCs w:val="16"/>
                </w:rPr>
                <w:t>5.6 статьи 30.5</w:t>
              </w:r>
            </w:hyperlink>
            <w:r w:rsidRPr="00A85B35">
              <w:rPr>
                <w:rFonts w:ascii="Times New Roman" w:hAnsi="Times New Roman" w:cs="Times New Roman"/>
                <w:bCs/>
                <w:color w:val="0D0D0D" w:themeColor="text1" w:themeTint="F2"/>
                <w:sz w:val="16"/>
                <w:szCs w:val="16"/>
              </w:rPr>
              <w:t xml:space="preserve"> Федерального закона от 27 июня 2011 года N 161-ФЗ. В иных случаях реквизит не заполняется</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43</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М.П.</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Место для оттиска печати плательщика.</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платежном поручении на бумажном носителе проставляется оттиск печати (при наличии) плательщика согласно образцу, заявленному банку в карточке или альбоме.</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платежном поручении на бумажном носителе, составляемом банком на основании распоряжения клиента, банка, оттиск печати банка может не проставляться</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44</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Подписи</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Подписи плательщика.</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платежном поручении на бумажном носителе проставляются подписи (подпись) уполномоченных лиц (уполномоченного лица) плательщика согласно заявленным банку образцам в карточке или альбоме.</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платежном поручении на бумажном носителе, составляемом банком на основании распоряжения клиента, банка, подписи проставляются в порядке, установленном банком</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46</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М.П.</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Место для оттиска печати взыскателя средств, получателя средств.</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инкассовом поручении, платежном требовании на бумажном носителе проставляется оттиск печати (при наличии) взыскателя средств или получателя средств согласно образцу, заявленному банку в карточке или альбоме.</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инкассовом поручении на бумажном носителе, составляемом банком на основании распоряжения взыскателя средств, не являющегося инкассовым поручением, в платежном требовании на бумажном носителе, составляемом банком получателя средств и предъявляемом к счету плательщика, открытому в этом банке, оттиск печати банка может не проставляться.</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инкассовом поручении, платежном требовании на бумажном носителе, составляемым банком получателя средств и предъявляемым к счету плательщика, открытому в другом банке, проставляется оттиск печати (при наличии) банка получателя средств</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47</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Подписи</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Подписи взыскателя средств, получателя средств.</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инкассовом поручении, платежном требовании на бумажном носителе проставляются подписи (подпись) уполномоченных лиц (уполномоченного лица) взыскателя средств или получателя средств согласно образцам, заявленным банку в карточке или альбоме.</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инкассовом поручении на бумажном носителе, составляемом банком на основании распоряжения взыскателя средств, не являющегося инкассовым поручением, в платежном требовании на бумажном носителе, составляемом банком получателя средств, проставляются подписи уполномоченных лиц банка в порядке, установленном банком</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45</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Отметки банка плательщика</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платежном поручении на бумажном носителе проставляются штамп банка плательщика и подпись уполномоченного лица банка плательщика, штамп банка получателя средств и подпись уполномоченного лица банка получателя средств.</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платежном поручении в электронном виде, на бумажном носителе банком получателя средств указывается дата его исполнения в порядке, установленном для реквизита 4 "Дата".</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инкассовом поручении, платежном требовании на бумажном носителе при исполнении распоряжения в полной сумме проставляются штамп банка плательщика и подпись уполномоченного лица банка плательщика</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48</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Отметки банка получателя</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инкассовом поручении, платежном требовании на бумажном носителе проставляются штамп банка получателя средств и подпись уполномоченного лица банка получателя средств. При предъявлении (исполнении) инкассового поручения, платежного требования в электронном виде, на бумажном носителе банком получателя средств указывается дата его поступления (исполнения) в порядке, установленном для реквизита 4 "Дата"</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62</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Поступ. в банк плат.</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Поступило в банк плательщика.</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Указывается дата поступления распоряжения в банк плательщика в порядке, установленном для реквизита 4 "Дата".</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 xml:space="preserve">В платежном поручении, составляемом банком плательщика в соответствии с </w:t>
            </w:r>
            <w:hyperlink r:id="rId34" w:history="1">
              <w:r w:rsidRPr="00A85B35">
                <w:rPr>
                  <w:rFonts w:ascii="Times New Roman" w:hAnsi="Times New Roman" w:cs="Times New Roman"/>
                  <w:bCs/>
                  <w:color w:val="0D0D0D" w:themeColor="text1" w:themeTint="F2"/>
                  <w:sz w:val="16"/>
                  <w:szCs w:val="16"/>
                </w:rPr>
                <w:t>пунктом 1.15</w:t>
              </w:r>
            </w:hyperlink>
            <w:r w:rsidRPr="00A85B35">
              <w:rPr>
                <w:rFonts w:ascii="Times New Roman" w:hAnsi="Times New Roman" w:cs="Times New Roman"/>
                <w:bCs/>
                <w:color w:val="0D0D0D" w:themeColor="text1" w:themeTint="F2"/>
                <w:sz w:val="16"/>
                <w:szCs w:val="16"/>
              </w:rPr>
              <w:t xml:space="preserve"> настоящего Положения, указывается дата осуществления перевода денежных средств, </w:t>
            </w:r>
            <w:r w:rsidRPr="00A85B35">
              <w:rPr>
                <w:rFonts w:ascii="Times New Roman" w:hAnsi="Times New Roman" w:cs="Times New Roman"/>
                <w:bCs/>
                <w:color w:val="0D0D0D" w:themeColor="text1" w:themeTint="F2"/>
                <w:sz w:val="16"/>
                <w:szCs w:val="16"/>
              </w:rPr>
              <w:lastRenderedPageBreak/>
              <w:t>определенная банком плательщика на основании распоряжения плательщика, в том числе в виде заявления, или договора</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lastRenderedPageBreak/>
              <w:t>63</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Дата помещения в картотеку</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Указывается дата помещения распоряжения в очередь не исполненных в срок распоряжений в порядке, установленном для реквизита 4 "Дата"</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64</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N ч. плат.</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Номер частичного платежа.</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Указывается порядковый номер частичного платежа, если по распоряжению осуществлялось частичное исполнение</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65</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N плат, ордера</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Номер платежного ордера.</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Указывается номер платежного ордера, если по распоряжению осуществлялось частичное исполнение</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66</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Дата плат, ордера</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Дата платежного ордера.</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Указывается дата платежного ордера в порядке, установленном для реквизита 4 "Дата", если по распоряжению осуществлялось частичное исполнение</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67</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Сумма частичного платежа</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Указывается сумма частичного платежа цифрами в порядке, установленном для реквизита 7 "Сумма", если по распоряжению осуществлялось частичное исполнение</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68</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Сумма остатка платежа</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Указывается сумма остатка платежа цифрами в порядке, установленном для реквизита 7 "Сумма", если по распоряжению осуществлялось частичное исполнение.</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При последнем частичном платеже в распоряжении на бумажном носителе проставляется значение "0-00", в распоряжении в электронном виде значение реквизита указывается цифрами в формате, установленном банком</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69</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Подпись</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Проставляется в распоряжении на бумажном носителе подпись уполномоченного лица банка, которым осуществлялось частичное исполнение</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71</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Списано со сч. плат.</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Списано со счета плательщика.</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Указывается банком плательщика дата списания денежных средств со счета плательщика в порядке, установленном для реквизита 4 "Дата"</w:t>
            </w:r>
          </w:p>
        </w:tc>
      </w:tr>
      <w:tr w:rsidR="00FE339C" w:rsidRPr="00A85B35" w:rsidTr="00FE339C">
        <w:tc>
          <w:tcPr>
            <w:tcW w:w="1902"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72</w:t>
            </w:r>
          </w:p>
        </w:tc>
        <w:tc>
          <w:tcPr>
            <w:tcW w:w="1978" w:type="dxa"/>
            <w:tcBorders>
              <w:top w:val="single" w:sz="4" w:space="0" w:color="auto"/>
              <w:left w:val="single" w:sz="4" w:space="0" w:color="auto"/>
              <w:bottom w:val="single" w:sz="4" w:space="0" w:color="auto"/>
              <w:right w:val="single" w:sz="4" w:space="0" w:color="auto"/>
            </w:tcBorders>
          </w:tcPr>
          <w:p w:rsidR="00FE339C" w:rsidRPr="00A85B35" w:rsidRDefault="00FE339C" w:rsidP="00FE339C">
            <w:pPr>
              <w:autoSpaceDE w:val="0"/>
              <w:autoSpaceDN w:val="0"/>
              <w:adjustRightInd w:val="0"/>
              <w:spacing w:after="0" w:line="240" w:lineRule="auto"/>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Оконч. срока акцепта</w:t>
            </w:r>
          </w:p>
        </w:tc>
        <w:tc>
          <w:tcPr>
            <w:tcW w:w="6468" w:type="dxa"/>
            <w:tcBorders>
              <w:top w:val="single" w:sz="4" w:space="0" w:color="auto"/>
              <w:left w:val="single" w:sz="4" w:space="0" w:color="auto"/>
              <w:bottom w:val="single" w:sz="4" w:space="0" w:color="auto"/>
              <w:right w:val="single" w:sz="4" w:space="0" w:color="auto"/>
            </w:tcBorders>
          </w:tcPr>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Окончание срока акцепта.</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Указывается банком плательщика дата, при наступлении которой истекает срок акцепта, в порядке, установленном для реквизита 4 "Дата". При исчислении даты, при наступлении которой истекает срок акцепта, в расчет принимаются рабочие дни. День поступления в банк платежного требования в расчет не принимается.</w:t>
            </w:r>
          </w:p>
          <w:p w:rsidR="00FE339C" w:rsidRPr="00A85B35" w:rsidRDefault="00FE339C" w:rsidP="00FA4BAE">
            <w:pPr>
              <w:autoSpaceDE w:val="0"/>
              <w:autoSpaceDN w:val="0"/>
              <w:adjustRightInd w:val="0"/>
              <w:spacing w:after="0" w:line="240" w:lineRule="auto"/>
              <w:ind w:firstLine="283"/>
              <w:jc w:val="both"/>
              <w:rPr>
                <w:rFonts w:ascii="Times New Roman" w:hAnsi="Times New Roman" w:cs="Times New Roman"/>
                <w:bCs/>
                <w:color w:val="0D0D0D" w:themeColor="text1" w:themeTint="F2"/>
                <w:sz w:val="16"/>
                <w:szCs w:val="16"/>
              </w:rPr>
            </w:pPr>
            <w:r w:rsidRPr="00A85B35">
              <w:rPr>
                <w:rFonts w:ascii="Times New Roman" w:hAnsi="Times New Roman" w:cs="Times New Roman"/>
                <w:bCs/>
                <w:color w:val="0D0D0D" w:themeColor="text1" w:themeTint="F2"/>
                <w:sz w:val="16"/>
                <w:szCs w:val="16"/>
              </w:rPr>
              <w:t>В случае заранее данного акцепта плательщика реквизит не заполняется</w:t>
            </w:r>
          </w:p>
        </w:tc>
      </w:tr>
    </w:tbl>
    <w:p w:rsidR="00FE339C" w:rsidRPr="00A85B35" w:rsidRDefault="00FE339C" w:rsidP="00FE339C">
      <w:pPr>
        <w:autoSpaceDE w:val="0"/>
        <w:autoSpaceDN w:val="0"/>
        <w:adjustRightInd w:val="0"/>
        <w:spacing w:after="0" w:line="240" w:lineRule="auto"/>
        <w:jc w:val="both"/>
        <w:rPr>
          <w:rFonts w:ascii="Times New Roman" w:hAnsi="Times New Roman" w:cs="Times New Roman"/>
          <w:bCs/>
          <w:color w:val="0D0D0D" w:themeColor="text1" w:themeTint="F2"/>
          <w:sz w:val="16"/>
          <w:szCs w:val="16"/>
        </w:rPr>
      </w:pPr>
    </w:p>
    <w:p w:rsidR="00FE339C" w:rsidRPr="00FA4BAE" w:rsidRDefault="00FE339C" w:rsidP="00FE339C">
      <w:pPr>
        <w:autoSpaceDE w:val="0"/>
        <w:autoSpaceDN w:val="0"/>
        <w:adjustRightInd w:val="0"/>
        <w:spacing w:after="0" w:line="240" w:lineRule="auto"/>
        <w:ind w:firstLine="540"/>
        <w:jc w:val="both"/>
        <w:rPr>
          <w:rFonts w:ascii="Times New Roman" w:hAnsi="Times New Roman" w:cs="Times New Roman"/>
          <w:b/>
          <w:bCs/>
          <w:color w:val="0D0D0D" w:themeColor="text1" w:themeTint="F2"/>
          <w:sz w:val="24"/>
          <w:szCs w:val="24"/>
        </w:rPr>
      </w:pPr>
      <w:r w:rsidRPr="00FA4BAE">
        <w:rPr>
          <w:rFonts w:ascii="Times New Roman" w:hAnsi="Times New Roman" w:cs="Times New Roman"/>
          <w:b/>
          <w:bCs/>
          <w:color w:val="0D0D0D" w:themeColor="text1" w:themeTint="F2"/>
          <w:sz w:val="24"/>
          <w:szCs w:val="24"/>
        </w:rPr>
        <w:t>Примечания</w:t>
      </w:r>
      <w:r w:rsidR="00FA4BAE">
        <w:rPr>
          <w:rFonts w:ascii="Times New Roman" w:hAnsi="Times New Roman" w:cs="Times New Roman"/>
          <w:b/>
          <w:bCs/>
          <w:color w:val="0D0D0D" w:themeColor="text1" w:themeTint="F2"/>
          <w:sz w:val="24"/>
          <w:szCs w:val="24"/>
          <w:lang w:val="en-US"/>
        </w:rPr>
        <w:t>:</w:t>
      </w:r>
    </w:p>
    <w:p w:rsidR="00FE339C" w:rsidRPr="00A85B35" w:rsidRDefault="00FE339C" w:rsidP="00FA4BAE">
      <w:pPr>
        <w:autoSpaceDE w:val="0"/>
        <w:autoSpaceDN w:val="0"/>
        <w:adjustRightInd w:val="0"/>
        <w:spacing w:after="0" w:line="240" w:lineRule="auto"/>
        <w:ind w:firstLine="540"/>
        <w:jc w:val="both"/>
        <w:rPr>
          <w:rFonts w:ascii="Times New Roman" w:hAnsi="Times New Roman" w:cs="Times New Roman"/>
          <w:bCs/>
          <w:color w:val="0D0D0D" w:themeColor="text1" w:themeTint="F2"/>
          <w:sz w:val="24"/>
          <w:szCs w:val="24"/>
        </w:rPr>
      </w:pPr>
      <w:r w:rsidRPr="00A85B35">
        <w:rPr>
          <w:rFonts w:ascii="Times New Roman" w:hAnsi="Times New Roman" w:cs="Times New Roman"/>
          <w:bCs/>
          <w:color w:val="0D0D0D" w:themeColor="text1" w:themeTint="F2"/>
          <w:sz w:val="24"/>
          <w:szCs w:val="24"/>
        </w:rPr>
        <w:t>1. Ф.И.О. указываются в реквизитах в именительном падеже.</w:t>
      </w:r>
    </w:p>
    <w:p w:rsidR="00FE339C" w:rsidRPr="00A85B35" w:rsidRDefault="00FE339C" w:rsidP="00FA4BAE">
      <w:pPr>
        <w:autoSpaceDE w:val="0"/>
        <w:autoSpaceDN w:val="0"/>
        <w:adjustRightInd w:val="0"/>
        <w:spacing w:after="0" w:line="240" w:lineRule="auto"/>
        <w:ind w:firstLine="540"/>
        <w:jc w:val="both"/>
        <w:rPr>
          <w:rFonts w:ascii="Times New Roman" w:hAnsi="Times New Roman" w:cs="Times New Roman"/>
          <w:bCs/>
          <w:color w:val="0D0D0D" w:themeColor="text1" w:themeTint="F2"/>
          <w:sz w:val="24"/>
          <w:szCs w:val="24"/>
        </w:rPr>
      </w:pPr>
      <w:r w:rsidRPr="00A85B35">
        <w:rPr>
          <w:rFonts w:ascii="Times New Roman" w:hAnsi="Times New Roman" w:cs="Times New Roman"/>
          <w:bCs/>
          <w:color w:val="0D0D0D" w:themeColor="text1" w:themeTint="F2"/>
          <w:sz w:val="24"/>
          <w:szCs w:val="24"/>
        </w:rPr>
        <w:t>2. В случае если плательщиком (получателем средств) является банк, наименование которого указано в реквизите 8 "Плательщик" (16 "Получатель"), наименование этого банка указывается повторно в реквизите 10 "Банк плательщика" (13 "Банк получателя").</w:t>
      </w:r>
    </w:p>
    <w:p w:rsidR="00FE339C" w:rsidRPr="00A85B35" w:rsidRDefault="00FE339C" w:rsidP="00FA4BAE">
      <w:pPr>
        <w:autoSpaceDE w:val="0"/>
        <w:autoSpaceDN w:val="0"/>
        <w:adjustRightInd w:val="0"/>
        <w:spacing w:after="0" w:line="240" w:lineRule="auto"/>
        <w:ind w:firstLine="540"/>
        <w:jc w:val="both"/>
        <w:rPr>
          <w:rFonts w:ascii="Times New Roman" w:hAnsi="Times New Roman" w:cs="Times New Roman"/>
          <w:bCs/>
          <w:color w:val="0D0D0D" w:themeColor="text1" w:themeTint="F2"/>
          <w:sz w:val="24"/>
          <w:szCs w:val="24"/>
        </w:rPr>
      </w:pPr>
      <w:r w:rsidRPr="00A85B35">
        <w:rPr>
          <w:rFonts w:ascii="Times New Roman" w:hAnsi="Times New Roman" w:cs="Times New Roman"/>
          <w:bCs/>
          <w:color w:val="0D0D0D" w:themeColor="text1" w:themeTint="F2"/>
          <w:sz w:val="24"/>
          <w:szCs w:val="24"/>
        </w:rPr>
        <w:t>3. При осуществлении перевода денежных средств с участием банка-посредника наименование и место нахождения банка, обслуживающего плательщика (получателя средств), могут указываться в реквизите 8 "Плательщик" (16 "Получатель"), при этом номер счета, открытого в другой кредитной организации, другом филиале кредитной организации, счета участника расчетов, счета по учету внутрибанковских требований и обязательств (при необходимости) указывается в реквизите 9 "Сч. N" плательщика (17 "Сч. N" получателя средств). Наименование и место нахождения банка-посредника указываются в реквизите 9 "Банк плательщика" (17 "Банк получателя"), БИК и номер счета банка-посредника указываются соответственно в реквизите 11 "БИК" банка плательщика (14 "БИК" банка получателя средств) и 12 "Сч. N" банка плательщика (15 "Сч. N" банка получателя средств). В реквизите 24 "Назначение платежа" дополнительно может указываться информация, необходимая для осуществления перевода денежных средств с участием банков-посредников, включая реквизиты банков-посредников.</w:t>
      </w:r>
    </w:p>
    <w:p w:rsidR="00FE339C" w:rsidRPr="00A85B35" w:rsidRDefault="00FE339C" w:rsidP="00FA4BAE">
      <w:pPr>
        <w:autoSpaceDE w:val="0"/>
        <w:autoSpaceDN w:val="0"/>
        <w:adjustRightInd w:val="0"/>
        <w:spacing w:after="0" w:line="240" w:lineRule="auto"/>
        <w:ind w:firstLine="540"/>
        <w:jc w:val="both"/>
        <w:rPr>
          <w:rFonts w:ascii="Times New Roman" w:hAnsi="Times New Roman" w:cs="Times New Roman"/>
          <w:bCs/>
          <w:color w:val="0D0D0D" w:themeColor="text1" w:themeTint="F2"/>
          <w:sz w:val="24"/>
          <w:szCs w:val="24"/>
        </w:rPr>
      </w:pPr>
      <w:r w:rsidRPr="00A85B35">
        <w:rPr>
          <w:rFonts w:ascii="Times New Roman" w:hAnsi="Times New Roman" w:cs="Times New Roman"/>
          <w:bCs/>
          <w:color w:val="0D0D0D" w:themeColor="text1" w:themeTint="F2"/>
          <w:sz w:val="24"/>
          <w:szCs w:val="24"/>
        </w:rPr>
        <w:t xml:space="preserve">4. При составлении распоряжений о переводе денежных средств в уплату платежей в бюджетную систему Российской Федерации информация о плательщике, получателе средств, назначении платежа, в реквизитах 22 "Код", 60 "ИНН" плательщика, 61 "ИНН" получателя средств, 101 - 109 указывается в соответствии с требованиями нормативных правовых актов, принятых на основании </w:t>
      </w:r>
      <w:hyperlink r:id="rId35" w:history="1">
        <w:r w:rsidRPr="00A85B35">
          <w:rPr>
            <w:rFonts w:ascii="Times New Roman" w:hAnsi="Times New Roman" w:cs="Times New Roman"/>
            <w:bCs/>
            <w:color w:val="0D0D0D" w:themeColor="text1" w:themeTint="F2"/>
            <w:sz w:val="24"/>
            <w:szCs w:val="24"/>
          </w:rPr>
          <w:t>части 1 статьи 8</w:t>
        </w:r>
      </w:hyperlink>
      <w:r w:rsidRPr="00A85B35">
        <w:rPr>
          <w:rFonts w:ascii="Times New Roman" w:hAnsi="Times New Roman" w:cs="Times New Roman"/>
          <w:bCs/>
          <w:color w:val="0D0D0D" w:themeColor="text1" w:themeTint="F2"/>
          <w:sz w:val="24"/>
          <w:szCs w:val="24"/>
        </w:rPr>
        <w:t xml:space="preserve"> Федерального закона от 27</w:t>
      </w:r>
      <w:r w:rsidR="00FA4BAE">
        <w:rPr>
          <w:rFonts w:ascii="Times New Roman" w:hAnsi="Times New Roman" w:cs="Times New Roman"/>
          <w:bCs/>
          <w:color w:val="0D0D0D" w:themeColor="text1" w:themeTint="F2"/>
          <w:sz w:val="24"/>
          <w:szCs w:val="24"/>
        </w:rPr>
        <w:t>.06.</w:t>
      </w:r>
      <w:r w:rsidRPr="00A85B35">
        <w:rPr>
          <w:rFonts w:ascii="Times New Roman" w:hAnsi="Times New Roman" w:cs="Times New Roman"/>
          <w:bCs/>
          <w:color w:val="0D0D0D" w:themeColor="text1" w:themeTint="F2"/>
          <w:sz w:val="24"/>
          <w:szCs w:val="24"/>
        </w:rPr>
        <w:t xml:space="preserve">2011  </w:t>
      </w:r>
      <w:r w:rsidRPr="00A85B35">
        <w:rPr>
          <w:rFonts w:ascii="Times New Roman" w:hAnsi="Times New Roman" w:cs="Times New Roman"/>
          <w:bCs/>
          <w:color w:val="0D0D0D" w:themeColor="text1" w:themeTint="F2"/>
          <w:sz w:val="24"/>
          <w:szCs w:val="24"/>
        </w:rPr>
        <w:lastRenderedPageBreak/>
        <w:t xml:space="preserve">N 161-ФЗ Министерством финансов Российской Федерации по согласованию с Банком России. Банки при приеме к исполнению распоряжений о переводе денежных средств в уплату платежей в бюджетную систему Российской Федерации обеспечивают контроль наличия значений, количества и допустимости символов в реквизитах 22 "Код", 60 "ИНН" плательщика, 61 "ИНН" получателя средств, 101 - 109 с учетом требований нормативных правовых актов, принятых на основании </w:t>
      </w:r>
      <w:hyperlink r:id="rId36" w:history="1">
        <w:r w:rsidRPr="00A85B35">
          <w:rPr>
            <w:rFonts w:ascii="Times New Roman" w:hAnsi="Times New Roman" w:cs="Times New Roman"/>
            <w:bCs/>
            <w:color w:val="0D0D0D" w:themeColor="text1" w:themeTint="F2"/>
            <w:sz w:val="24"/>
            <w:szCs w:val="24"/>
          </w:rPr>
          <w:t>части 1 статьи 8</w:t>
        </w:r>
      </w:hyperlink>
      <w:r w:rsidRPr="00A85B35">
        <w:rPr>
          <w:rFonts w:ascii="Times New Roman" w:hAnsi="Times New Roman" w:cs="Times New Roman"/>
          <w:bCs/>
          <w:color w:val="0D0D0D" w:themeColor="text1" w:themeTint="F2"/>
          <w:sz w:val="24"/>
          <w:szCs w:val="24"/>
        </w:rPr>
        <w:t xml:space="preserve"> Федерального закона от 27</w:t>
      </w:r>
      <w:r w:rsidR="00FA4BAE">
        <w:rPr>
          <w:rFonts w:ascii="Times New Roman" w:hAnsi="Times New Roman" w:cs="Times New Roman"/>
          <w:bCs/>
          <w:color w:val="0D0D0D" w:themeColor="text1" w:themeTint="F2"/>
          <w:sz w:val="24"/>
          <w:szCs w:val="24"/>
        </w:rPr>
        <w:t>.06.</w:t>
      </w:r>
      <w:r w:rsidRPr="00A85B35">
        <w:rPr>
          <w:rFonts w:ascii="Times New Roman" w:hAnsi="Times New Roman" w:cs="Times New Roman"/>
          <w:bCs/>
          <w:color w:val="0D0D0D" w:themeColor="text1" w:themeTint="F2"/>
          <w:sz w:val="24"/>
          <w:szCs w:val="24"/>
        </w:rPr>
        <w:t xml:space="preserve"> 2011 N 161-ФЗ Министерством финансов Российской Федерации по согласованию с Банком России.</w:t>
      </w:r>
    </w:p>
    <w:p w:rsidR="00FE339C" w:rsidRPr="00A85B35" w:rsidRDefault="00FE339C" w:rsidP="00FA4BAE">
      <w:pPr>
        <w:autoSpaceDE w:val="0"/>
        <w:autoSpaceDN w:val="0"/>
        <w:adjustRightInd w:val="0"/>
        <w:spacing w:after="0" w:line="240" w:lineRule="auto"/>
        <w:ind w:firstLine="540"/>
        <w:jc w:val="both"/>
        <w:rPr>
          <w:rFonts w:ascii="Times New Roman" w:hAnsi="Times New Roman" w:cs="Times New Roman"/>
          <w:bCs/>
          <w:color w:val="0D0D0D" w:themeColor="text1" w:themeTint="F2"/>
          <w:sz w:val="24"/>
          <w:szCs w:val="24"/>
        </w:rPr>
      </w:pPr>
      <w:r w:rsidRPr="00A85B35">
        <w:rPr>
          <w:rFonts w:ascii="Times New Roman" w:hAnsi="Times New Roman" w:cs="Times New Roman"/>
          <w:bCs/>
          <w:color w:val="0D0D0D" w:themeColor="text1" w:themeTint="F2"/>
          <w:sz w:val="24"/>
          <w:szCs w:val="24"/>
        </w:rPr>
        <w:t xml:space="preserve">5. Распоряжения о переводе денежных средств со счетов (на счета) органов Федерального казначейства, которые в соответствии с Бюджетным </w:t>
      </w:r>
      <w:hyperlink r:id="rId37" w:history="1">
        <w:r w:rsidRPr="00A85B35">
          <w:rPr>
            <w:rFonts w:ascii="Times New Roman" w:hAnsi="Times New Roman" w:cs="Times New Roman"/>
            <w:bCs/>
            <w:color w:val="0D0D0D" w:themeColor="text1" w:themeTint="F2"/>
            <w:sz w:val="24"/>
            <w:szCs w:val="24"/>
          </w:rPr>
          <w:t>кодексом</w:t>
        </w:r>
      </w:hyperlink>
      <w:r w:rsidRPr="00A85B35">
        <w:rPr>
          <w:rFonts w:ascii="Times New Roman" w:hAnsi="Times New Roman" w:cs="Times New Roman"/>
          <w:bCs/>
          <w:color w:val="0D0D0D" w:themeColor="text1" w:themeTint="F2"/>
          <w:sz w:val="24"/>
          <w:szCs w:val="24"/>
        </w:rPr>
        <w:t xml:space="preserve"> Российской Федерации (Собрание законодательства Российской Федерации, 1998, N 31, ст. 3823; "Официальный интернет-портал правовой информации" (</w:t>
      </w:r>
      <w:hyperlink r:id="rId38" w:history="1">
        <w:r w:rsidRPr="00A85B35">
          <w:rPr>
            <w:rFonts w:ascii="Times New Roman" w:hAnsi="Times New Roman" w:cs="Times New Roman"/>
            <w:bCs/>
            <w:color w:val="0D0D0D" w:themeColor="text1" w:themeTint="F2"/>
            <w:sz w:val="24"/>
            <w:szCs w:val="24"/>
          </w:rPr>
          <w:t>www.pravo.gov.ru</w:t>
        </w:r>
      </w:hyperlink>
      <w:r w:rsidRPr="00A85B35">
        <w:rPr>
          <w:rFonts w:ascii="Times New Roman" w:hAnsi="Times New Roman" w:cs="Times New Roman"/>
          <w:bCs/>
          <w:color w:val="0D0D0D" w:themeColor="text1" w:themeTint="F2"/>
          <w:sz w:val="24"/>
          <w:szCs w:val="24"/>
        </w:rPr>
        <w:t>), 28</w:t>
      </w:r>
      <w:r w:rsidR="00FA4BAE">
        <w:rPr>
          <w:rFonts w:ascii="Times New Roman" w:hAnsi="Times New Roman" w:cs="Times New Roman"/>
          <w:bCs/>
          <w:color w:val="0D0D0D" w:themeColor="text1" w:themeTint="F2"/>
          <w:sz w:val="24"/>
          <w:szCs w:val="24"/>
        </w:rPr>
        <w:t>.06.</w:t>
      </w:r>
      <w:r w:rsidRPr="00A85B35">
        <w:rPr>
          <w:rFonts w:ascii="Times New Roman" w:hAnsi="Times New Roman" w:cs="Times New Roman"/>
          <w:bCs/>
          <w:color w:val="0D0D0D" w:themeColor="text1" w:themeTint="F2"/>
          <w:sz w:val="24"/>
          <w:szCs w:val="24"/>
        </w:rPr>
        <w:t xml:space="preserve">2021) осуществляют казначейское обслуживание, открытие и ведение лицевых счетов, составляются в соответствии с требованиями нормативного акта Банка России, устанавливающего порядок ведения Банком России и кредитными организациями (филиалами) банковских счетов территориальных органов Федерального казначейства, указанных в </w:t>
      </w:r>
      <w:hyperlink r:id="rId39" w:history="1">
        <w:r w:rsidRPr="00A85B35">
          <w:rPr>
            <w:rFonts w:ascii="Times New Roman" w:hAnsi="Times New Roman" w:cs="Times New Roman"/>
            <w:bCs/>
            <w:color w:val="0D0D0D" w:themeColor="text1" w:themeTint="F2"/>
            <w:sz w:val="24"/>
            <w:szCs w:val="24"/>
          </w:rPr>
          <w:t>пункте 2 статьи 155</w:t>
        </w:r>
      </w:hyperlink>
      <w:r w:rsidRPr="00A85B35">
        <w:rPr>
          <w:rFonts w:ascii="Times New Roman" w:hAnsi="Times New Roman" w:cs="Times New Roman"/>
          <w:bCs/>
          <w:color w:val="0D0D0D" w:themeColor="text1" w:themeTint="F2"/>
          <w:sz w:val="24"/>
          <w:szCs w:val="24"/>
        </w:rPr>
        <w:t xml:space="preserve">, </w:t>
      </w:r>
      <w:hyperlink r:id="rId40" w:history="1">
        <w:r w:rsidRPr="00A85B35">
          <w:rPr>
            <w:rFonts w:ascii="Times New Roman" w:hAnsi="Times New Roman" w:cs="Times New Roman"/>
            <w:bCs/>
            <w:color w:val="0D0D0D" w:themeColor="text1" w:themeTint="F2"/>
            <w:sz w:val="24"/>
            <w:szCs w:val="24"/>
          </w:rPr>
          <w:t>пунктах 2</w:t>
        </w:r>
      </w:hyperlink>
      <w:r w:rsidRPr="00A85B35">
        <w:rPr>
          <w:rFonts w:ascii="Times New Roman" w:hAnsi="Times New Roman" w:cs="Times New Roman"/>
          <w:bCs/>
          <w:color w:val="0D0D0D" w:themeColor="text1" w:themeTint="F2"/>
          <w:sz w:val="24"/>
          <w:szCs w:val="24"/>
        </w:rPr>
        <w:t xml:space="preserve"> и </w:t>
      </w:r>
      <w:hyperlink r:id="rId41" w:history="1">
        <w:r w:rsidRPr="00A85B35">
          <w:rPr>
            <w:rFonts w:ascii="Times New Roman" w:hAnsi="Times New Roman" w:cs="Times New Roman"/>
            <w:bCs/>
            <w:color w:val="0D0D0D" w:themeColor="text1" w:themeTint="F2"/>
            <w:sz w:val="24"/>
            <w:szCs w:val="24"/>
          </w:rPr>
          <w:t>4 статьи 156</w:t>
        </w:r>
      </w:hyperlink>
      <w:r w:rsidRPr="00A85B35">
        <w:rPr>
          <w:rFonts w:ascii="Times New Roman" w:hAnsi="Times New Roman" w:cs="Times New Roman"/>
          <w:bCs/>
          <w:color w:val="0D0D0D" w:themeColor="text1" w:themeTint="F2"/>
          <w:sz w:val="24"/>
          <w:szCs w:val="24"/>
        </w:rPr>
        <w:t xml:space="preserve"> Бюджетного кодекса Российской Федерации (Собрание законодательства Российской Федерации, 1998, N 31, ст. 3823; 2019, N 52, ст. 7797).</w:t>
      </w:r>
    </w:p>
    <w:p w:rsidR="00FE339C" w:rsidRPr="00A85B35" w:rsidRDefault="00FE339C" w:rsidP="00FA4BAE">
      <w:pPr>
        <w:autoSpaceDE w:val="0"/>
        <w:autoSpaceDN w:val="0"/>
        <w:adjustRightInd w:val="0"/>
        <w:spacing w:after="0" w:line="240" w:lineRule="auto"/>
        <w:ind w:firstLine="540"/>
        <w:jc w:val="both"/>
        <w:rPr>
          <w:rFonts w:ascii="Times New Roman" w:hAnsi="Times New Roman" w:cs="Times New Roman"/>
          <w:bCs/>
          <w:color w:val="0D0D0D" w:themeColor="text1" w:themeTint="F2"/>
          <w:sz w:val="24"/>
          <w:szCs w:val="24"/>
        </w:rPr>
      </w:pPr>
      <w:r w:rsidRPr="00A85B35">
        <w:rPr>
          <w:rFonts w:ascii="Times New Roman" w:hAnsi="Times New Roman" w:cs="Times New Roman"/>
          <w:bCs/>
          <w:color w:val="0D0D0D" w:themeColor="text1" w:themeTint="F2"/>
          <w:sz w:val="24"/>
          <w:szCs w:val="24"/>
        </w:rPr>
        <w:t>6. При осуществлении перевода денежных средств с участием нерезидентов, в том числе банков-нерезидентов, в распоряжениях допускается указание латинскими буквами информации о плательщике, получателе средств, банках и назначении платежа без построчного перевода на русский язык банками.</w:t>
      </w:r>
    </w:p>
    <w:p w:rsidR="00FE339C" w:rsidRPr="00A85B35" w:rsidRDefault="00FE339C" w:rsidP="00FA4BAE">
      <w:pPr>
        <w:autoSpaceDE w:val="0"/>
        <w:autoSpaceDN w:val="0"/>
        <w:adjustRightInd w:val="0"/>
        <w:spacing w:after="0" w:line="240" w:lineRule="auto"/>
        <w:ind w:firstLine="540"/>
        <w:jc w:val="both"/>
        <w:rPr>
          <w:rFonts w:ascii="Times New Roman" w:hAnsi="Times New Roman" w:cs="Times New Roman"/>
          <w:bCs/>
          <w:color w:val="0D0D0D" w:themeColor="text1" w:themeTint="F2"/>
          <w:sz w:val="24"/>
          <w:szCs w:val="24"/>
        </w:rPr>
      </w:pPr>
      <w:r w:rsidRPr="00A85B35">
        <w:rPr>
          <w:rFonts w:ascii="Times New Roman" w:hAnsi="Times New Roman" w:cs="Times New Roman"/>
          <w:bCs/>
          <w:color w:val="0D0D0D" w:themeColor="text1" w:themeTint="F2"/>
          <w:sz w:val="24"/>
          <w:szCs w:val="24"/>
        </w:rPr>
        <w:t>7. При составлении, воспроизведении распоряжения на бумажном носителе допускается указание уникального идентификатора платежа в реквизите 22 "Код", признака условий перевода в реквизите 23 "Рез. поле" двумя и более строками.</w:t>
      </w:r>
    </w:p>
    <w:p w:rsidR="00FE339C" w:rsidRPr="00A85B35" w:rsidRDefault="00FE339C" w:rsidP="00FA4BAE">
      <w:pPr>
        <w:autoSpaceDE w:val="0"/>
        <w:autoSpaceDN w:val="0"/>
        <w:adjustRightInd w:val="0"/>
        <w:spacing w:after="0" w:line="240" w:lineRule="auto"/>
        <w:ind w:firstLine="540"/>
        <w:jc w:val="both"/>
        <w:rPr>
          <w:rFonts w:ascii="Times New Roman" w:hAnsi="Times New Roman" w:cs="Times New Roman"/>
          <w:bCs/>
          <w:color w:val="0D0D0D" w:themeColor="text1" w:themeTint="F2"/>
          <w:sz w:val="24"/>
          <w:szCs w:val="24"/>
        </w:rPr>
      </w:pPr>
      <w:r w:rsidRPr="00A85B35">
        <w:rPr>
          <w:rFonts w:ascii="Times New Roman" w:hAnsi="Times New Roman" w:cs="Times New Roman"/>
          <w:bCs/>
          <w:color w:val="0D0D0D" w:themeColor="text1" w:themeTint="F2"/>
          <w:sz w:val="24"/>
          <w:szCs w:val="24"/>
        </w:rPr>
        <w:t>8. При осуществлении перевода денежных средств с совместных счетов (на совместные счета) в реквизитах 8 "Плательщик" (16 "Получатель"), 60 "ИНН" плательщика (61 "ИНН" получателя средств) указываются предусмотренные настоящим приложением значения указанных реквизитов физического лица, являющегося плательщиком (получателем средств).</w:t>
      </w:r>
    </w:p>
    <w:p w:rsidR="0037443D" w:rsidRPr="00A85B35" w:rsidRDefault="00F85BE2" w:rsidP="00FA4BAE">
      <w:pPr>
        <w:autoSpaceDE w:val="0"/>
        <w:autoSpaceDN w:val="0"/>
        <w:adjustRightInd w:val="0"/>
        <w:spacing w:after="0" w:line="240" w:lineRule="auto"/>
        <w:ind w:firstLine="540"/>
        <w:jc w:val="both"/>
        <w:rPr>
          <w:rFonts w:ascii="Times New Roman" w:hAnsi="Times New Roman" w:cs="Times New Roman"/>
          <w:color w:val="0D0D0D" w:themeColor="text1" w:themeTint="F2"/>
          <w:sz w:val="24"/>
          <w:szCs w:val="24"/>
        </w:rPr>
      </w:pPr>
      <w:r w:rsidRPr="00A85B35">
        <w:rPr>
          <w:rFonts w:ascii="Times New Roman" w:hAnsi="Times New Roman" w:cs="Times New Roman"/>
          <w:bCs/>
          <w:color w:val="0D0D0D" w:themeColor="text1" w:themeTint="F2"/>
          <w:sz w:val="24"/>
          <w:szCs w:val="24"/>
        </w:rPr>
        <w:t xml:space="preserve">9. </w:t>
      </w:r>
      <w:r w:rsidRPr="00FA4BAE">
        <w:rPr>
          <w:rFonts w:ascii="Times New Roman" w:hAnsi="Times New Roman" w:cs="Times New Roman"/>
          <w:bCs/>
          <w:color w:val="0D0D0D" w:themeColor="text1" w:themeTint="F2"/>
          <w:sz w:val="24"/>
          <w:szCs w:val="24"/>
          <w:u w:val="single"/>
        </w:rPr>
        <w:t>П</w:t>
      </w:r>
      <w:r w:rsidR="0037443D" w:rsidRPr="00FA4BAE">
        <w:rPr>
          <w:rFonts w:ascii="Times New Roman" w:hAnsi="Times New Roman" w:cs="Times New Roman"/>
          <w:color w:val="0D0D0D" w:themeColor="text1" w:themeTint="F2"/>
          <w:sz w:val="24"/>
          <w:szCs w:val="24"/>
          <w:u w:val="single"/>
        </w:rPr>
        <w:t>латежное поручение на перечисление удержанных алиментов</w:t>
      </w:r>
      <w:r w:rsidR="0037443D" w:rsidRPr="00A85B35">
        <w:rPr>
          <w:rFonts w:ascii="Times New Roman" w:hAnsi="Times New Roman" w:cs="Times New Roman"/>
          <w:color w:val="0D0D0D" w:themeColor="text1" w:themeTint="F2"/>
          <w:sz w:val="24"/>
          <w:szCs w:val="24"/>
        </w:rPr>
        <w:t xml:space="preserve"> заполня</w:t>
      </w:r>
      <w:r w:rsidRPr="00A85B35">
        <w:rPr>
          <w:rFonts w:ascii="Times New Roman" w:hAnsi="Times New Roman" w:cs="Times New Roman"/>
          <w:color w:val="0D0D0D" w:themeColor="text1" w:themeTint="F2"/>
          <w:sz w:val="24"/>
          <w:szCs w:val="24"/>
        </w:rPr>
        <w:t xml:space="preserve">ется </w:t>
      </w:r>
      <w:r w:rsidR="0037443D" w:rsidRPr="00A85B35">
        <w:rPr>
          <w:rFonts w:ascii="Times New Roman" w:hAnsi="Times New Roman" w:cs="Times New Roman"/>
          <w:color w:val="0D0D0D" w:themeColor="text1" w:themeTint="F2"/>
          <w:sz w:val="24"/>
          <w:szCs w:val="24"/>
        </w:rPr>
        <w:t>по-разному в зависимости от того, кому перечисля</w:t>
      </w:r>
      <w:r w:rsidR="00FA4BAE">
        <w:rPr>
          <w:rFonts w:ascii="Times New Roman" w:hAnsi="Times New Roman" w:cs="Times New Roman"/>
          <w:color w:val="0D0D0D" w:themeColor="text1" w:themeTint="F2"/>
          <w:sz w:val="24"/>
          <w:szCs w:val="24"/>
        </w:rPr>
        <w:t xml:space="preserve">ются </w:t>
      </w:r>
      <w:r w:rsidR="0037443D" w:rsidRPr="00A85B35">
        <w:rPr>
          <w:rFonts w:ascii="Times New Roman" w:hAnsi="Times New Roman" w:cs="Times New Roman"/>
          <w:color w:val="0D0D0D" w:themeColor="text1" w:themeTint="F2"/>
          <w:sz w:val="24"/>
          <w:szCs w:val="24"/>
        </w:rPr>
        <w:t xml:space="preserve">деньги - непосредственно </w:t>
      </w:r>
      <w:hyperlink r:id="rId42" w:anchor="P4" w:tooltip="При перечислении алиментов физлицу заполняйте платежку по общим правилам, которые предусмотрены в Приложении 1 к Положению Банка России от 29.06.2021 N 762-П, как указано ниже." w:history="1">
        <w:r w:rsidR="0037443D" w:rsidRPr="00A85B35">
          <w:rPr>
            <w:rStyle w:val="a3"/>
            <w:rFonts w:ascii="Times New Roman" w:hAnsi="Times New Roman" w:cs="Times New Roman"/>
            <w:color w:val="0D0D0D" w:themeColor="text1" w:themeTint="F2"/>
            <w:sz w:val="24"/>
            <w:szCs w:val="24"/>
            <w:u w:val="none"/>
          </w:rPr>
          <w:t>физлицу</w:t>
        </w:r>
      </w:hyperlink>
      <w:r w:rsidR="0037443D" w:rsidRPr="00A85B35">
        <w:rPr>
          <w:rFonts w:ascii="Times New Roman" w:hAnsi="Times New Roman" w:cs="Times New Roman"/>
          <w:color w:val="0D0D0D" w:themeColor="text1" w:themeTint="F2"/>
          <w:sz w:val="24"/>
          <w:szCs w:val="24"/>
        </w:rPr>
        <w:t xml:space="preserve"> либо </w:t>
      </w:r>
      <w:hyperlink r:id="rId43" w:tooltip="Готовое решение: Как заполнить платежное поручение на перечисление судебным приставам задолженности работников (КонсультантПлюс, 2025) {КонсультантПлюс}" w:history="1">
        <w:r w:rsidR="0037443D" w:rsidRPr="00A85B35">
          <w:rPr>
            <w:rStyle w:val="a3"/>
            <w:rFonts w:ascii="Times New Roman" w:hAnsi="Times New Roman" w:cs="Times New Roman"/>
            <w:color w:val="0D0D0D" w:themeColor="text1" w:themeTint="F2"/>
            <w:sz w:val="24"/>
            <w:szCs w:val="24"/>
            <w:u w:val="none"/>
          </w:rPr>
          <w:t>приставам</w:t>
        </w:r>
      </w:hyperlink>
      <w:r w:rsidR="0037443D" w:rsidRPr="00A85B35">
        <w:rPr>
          <w:rFonts w:ascii="Times New Roman" w:hAnsi="Times New Roman" w:cs="Times New Roman"/>
          <w:color w:val="0D0D0D" w:themeColor="text1" w:themeTint="F2"/>
          <w:sz w:val="24"/>
          <w:szCs w:val="24"/>
        </w:rPr>
        <w:t>.</w:t>
      </w:r>
    </w:p>
    <w:p w:rsidR="00F85BE2" w:rsidRPr="00A85B35" w:rsidRDefault="0037443D" w:rsidP="00FA4BAE">
      <w:pPr>
        <w:pStyle w:val="ConsPlusNormal"/>
        <w:ind w:firstLine="709"/>
        <w:jc w:val="both"/>
        <w:rPr>
          <w:rFonts w:ascii="Times New Roman" w:hAnsi="Times New Roman" w:cs="Times New Roman"/>
          <w:color w:val="0D0D0D" w:themeColor="text1" w:themeTint="F2"/>
          <w:sz w:val="24"/>
          <w:szCs w:val="24"/>
        </w:rPr>
      </w:pPr>
      <w:bookmarkStart w:id="0" w:name="P4"/>
      <w:bookmarkEnd w:id="0"/>
      <w:r w:rsidRPr="00A85B35">
        <w:rPr>
          <w:rFonts w:ascii="Times New Roman" w:hAnsi="Times New Roman" w:cs="Times New Roman"/>
          <w:color w:val="0D0D0D" w:themeColor="text1" w:themeTint="F2"/>
          <w:sz w:val="24"/>
          <w:szCs w:val="24"/>
        </w:rPr>
        <w:t xml:space="preserve">При перечислении алиментов физлицу </w:t>
      </w:r>
      <w:r w:rsidR="00280F15" w:rsidRPr="00A85B35">
        <w:rPr>
          <w:rFonts w:ascii="Times New Roman" w:hAnsi="Times New Roman" w:cs="Times New Roman"/>
          <w:color w:val="0D0D0D" w:themeColor="text1" w:themeTint="F2"/>
          <w:sz w:val="24"/>
          <w:szCs w:val="24"/>
        </w:rPr>
        <w:t xml:space="preserve">платежное поручение </w:t>
      </w:r>
      <w:r w:rsidRPr="00A85B35">
        <w:rPr>
          <w:rFonts w:ascii="Times New Roman" w:hAnsi="Times New Roman" w:cs="Times New Roman"/>
          <w:color w:val="0D0D0D" w:themeColor="text1" w:themeTint="F2"/>
          <w:sz w:val="24"/>
          <w:szCs w:val="24"/>
        </w:rPr>
        <w:t>заполня</w:t>
      </w:r>
      <w:r w:rsidR="00280F15" w:rsidRPr="00A85B35">
        <w:rPr>
          <w:rFonts w:ascii="Times New Roman" w:hAnsi="Times New Roman" w:cs="Times New Roman"/>
          <w:color w:val="0D0D0D" w:themeColor="text1" w:themeTint="F2"/>
          <w:sz w:val="24"/>
          <w:szCs w:val="24"/>
        </w:rPr>
        <w:t>ется п</w:t>
      </w:r>
      <w:r w:rsidRPr="00A85B35">
        <w:rPr>
          <w:rFonts w:ascii="Times New Roman" w:hAnsi="Times New Roman" w:cs="Times New Roman"/>
          <w:color w:val="0D0D0D" w:themeColor="text1" w:themeTint="F2"/>
          <w:sz w:val="24"/>
          <w:szCs w:val="24"/>
        </w:rPr>
        <w:t xml:space="preserve">о общим правилам, которые предусмотрены в </w:t>
      </w:r>
      <w:hyperlink r:id="rId44" w:tooltip="Положение Банка России от 29.06.2021 N 762-П (ред. от 03.08.2023) &quot;О правилах осуществления перевода денежных средств&quot; (Зарегистрировано в Минюсте России 25.08.2021 N 64765) {КонсультантПлюс}" w:history="1">
        <w:r w:rsidRPr="00A85B35">
          <w:rPr>
            <w:rStyle w:val="a3"/>
            <w:rFonts w:ascii="Times New Roman" w:hAnsi="Times New Roman" w:cs="Times New Roman"/>
            <w:color w:val="0D0D0D" w:themeColor="text1" w:themeTint="F2"/>
            <w:sz w:val="24"/>
            <w:szCs w:val="24"/>
            <w:u w:val="none"/>
          </w:rPr>
          <w:t>Приложении 1</w:t>
        </w:r>
      </w:hyperlink>
      <w:r w:rsidRPr="00A85B35">
        <w:rPr>
          <w:rFonts w:ascii="Times New Roman" w:hAnsi="Times New Roman" w:cs="Times New Roman"/>
          <w:color w:val="0D0D0D" w:themeColor="text1" w:themeTint="F2"/>
          <w:sz w:val="24"/>
          <w:szCs w:val="24"/>
        </w:rPr>
        <w:t xml:space="preserve"> к Положению Банка России от 29.06.2021 N 762-П</w:t>
      </w:r>
      <w:r w:rsidR="00F85BE2" w:rsidRPr="00A85B35">
        <w:rPr>
          <w:rFonts w:ascii="Times New Roman" w:hAnsi="Times New Roman" w:cs="Times New Roman"/>
          <w:color w:val="0D0D0D" w:themeColor="text1" w:themeTint="F2"/>
          <w:sz w:val="24"/>
          <w:szCs w:val="24"/>
        </w:rPr>
        <w:t>.</w:t>
      </w:r>
    </w:p>
    <w:p w:rsidR="0037443D" w:rsidRPr="00A85B35" w:rsidRDefault="0037443D" w:rsidP="00FA4BAE">
      <w:pPr>
        <w:pStyle w:val="ConsPlusNormal"/>
        <w:ind w:firstLine="709"/>
        <w:jc w:val="both"/>
        <w:rPr>
          <w:rFonts w:ascii="Times New Roman" w:hAnsi="Times New Roman" w:cs="Times New Roman"/>
          <w:color w:val="0D0D0D" w:themeColor="text1" w:themeTint="F2"/>
          <w:sz w:val="24"/>
          <w:szCs w:val="24"/>
        </w:rPr>
      </w:pPr>
      <w:r w:rsidRPr="00A85B35">
        <w:rPr>
          <w:rFonts w:ascii="Times New Roman" w:hAnsi="Times New Roman" w:cs="Times New Roman"/>
          <w:color w:val="0D0D0D" w:themeColor="text1" w:themeTint="F2"/>
          <w:sz w:val="24"/>
          <w:szCs w:val="24"/>
        </w:rPr>
        <w:t xml:space="preserve"> В </w:t>
      </w:r>
      <w:hyperlink r:id="rId45" w:tooltip="Положение Банка России от 29.06.2021 N 762-П (ред. от 03.08.2023) &quot;О правилах осуществления перевода денежных средств&quot; (Зарегистрировано в Минюсте России 25.08.2021 N 64765) {КонсультантПлюс}" w:history="1">
        <w:r w:rsidRPr="00A85B35">
          <w:rPr>
            <w:rStyle w:val="a3"/>
            <w:rFonts w:ascii="Times New Roman" w:hAnsi="Times New Roman" w:cs="Times New Roman"/>
            <w:color w:val="0D0D0D" w:themeColor="text1" w:themeTint="F2"/>
            <w:sz w:val="24"/>
            <w:szCs w:val="24"/>
            <w:u w:val="none"/>
          </w:rPr>
          <w:t>полях 3</w:t>
        </w:r>
      </w:hyperlink>
      <w:r w:rsidRPr="00A85B35">
        <w:rPr>
          <w:rFonts w:ascii="Times New Roman" w:hAnsi="Times New Roman" w:cs="Times New Roman"/>
          <w:color w:val="0D0D0D" w:themeColor="text1" w:themeTint="F2"/>
          <w:sz w:val="24"/>
          <w:szCs w:val="24"/>
        </w:rPr>
        <w:t xml:space="preserve"> и </w:t>
      </w:r>
      <w:hyperlink r:id="rId46" w:tooltip="Положение Банка России от 29.06.2021 N 762-П (ред. от 03.08.2023) &quot;О правилах осуществления перевода денежных средств&quot; (Зарегистрировано в Минюсте России 25.08.2021 N 64765) {КонсультантПлюс}" w:history="1">
        <w:r w:rsidRPr="00A85B35">
          <w:rPr>
            <w:rStyle w:val="a3"/>
            <w:rFonts w:ascii="Times New Roman" w:hAnsi="Times New Roman" w:cs="Times New Roman"/>
            <w:color w:val="0D0D0D" w:themeColor="text1" w:themeTint="F2"/>
            <w:sz w:val="24"/>
            <w:szCs w:val="24"/>
            <w:u w:val="none"/>
          </w:rPr>
          <w:t>4</w:t>
        </w:r>
      </w:hyperlink>
      <w:r w:rsidRPr="00A85B35">
        <w:rPr>
          <w:rFonts w:ascii="Times New Roman" w:hAnsi="Times New Roman" w:cs="Times New Roman"/>
          <w:color w:val="0D0D0D" w:themeColor="text1" w:themeTint="F2"/>
          <w:sz w:val="24"/>
          <w:szCs w:val="24"/>
        </w:rPr>
        <w:t xml:space="preserve"> отра</w:t>
      </w:r>
      <w:r w:rsidR="00280F15" w:rsidRPr="00A85B35">
        <w:rPr>
          <w:rFonts w:ascii="Times New Roman" w:hAnsi="Times New Roman" w:cs="Times New Roman"/>
          <w:color w:val="0D0D0D" w:themeColor="text1" w:themeTint="F2"/>
          <w:sz w:val="24"/>
          <w:szCs w:val="24"/>
        </w:rPr>
        <w:t xml:space="preserve">жается </w:t>
      </w:r>
      <w:r w:rsidRPr="00A85B35">
        <w:rPr>
          <w:rFonts w:ascii="Times New Roman" w:hAnsi="Times New Roman" w:cs="Times New Roman"/>
          <w:color w:val="0D0D0D" w:themeColor="text1" w:themeTint="F2"/>
          <w:sz w:val="24"/>
          <w:szCs w:val="24"/>
        </w:rPr>
        <w:t>номер и дат</w:t>
      </w:r>
      <w:r w:rsidR="00280F15" w:rsidRPr="00A85B35">
        <w:rPr>
          <w:rFonts w:ascii="Times New Roman" w:hAnsi="Times New Roman" w:cs="Times New Roman"/>
          <w:color w:val="0D0D0D" w:themeColor="text1" w:themeTint="F2"/>
          <w:sz w:val="24"/>
          <w:szCs w:val="24"/>
        </w:rPr>
        <w:t>а</w:t>
      </w:r>
      <w:r w:rsidRPr="00A85B35">
        <w:rPr>
          <w:rFonts w:ascii="Times New Roman" w:hAnsi="Times New Roman" w:cs="Times New Roman"/>
          <w:color w:val="0D0D0D" w:themeColor="text1" w:themeTint="F2"/>
          <w:sz w:val="24"/>
          <w:szCs w:val="24"/>
        </w:rPr>
        <w:t xml:space="preserve"> платеж</w:t>
      </w:r>
      <w:r w:rsidR="00280F15" w:rsidRPr="00A85B35">
        <w:rPr>
          <w:rFonts w:ascii="Times New Roman" w:hAnsi="Times New Roman" w:cs="Times New Roman"/>
          <w:color w:val="0D0D0D" w:themeColor="text1" w:themeTint="F2"/>
          <w:sz w:val="24"/>
          <w:szCs w:val="24"/>
        </w:rPr>
        <w:t>ного поручения</w:t>
      </w:r>
      <w:r w:rsidRPr="00A85B35">
        <w:rPr>
          <w:rFonts w:ascii="Times New Roman" w:hAnsi="Times New Roman" w:cs="Times New Roman"/>
          <w:color w:val="0D0D0D" w:themeColor="text1" w:themeTint="F2"/>
          <w:sz w:val="24"/>
          <w:szCs w:val="24"/>
        </w:rPr>
        <w:t>. Напомним, что перечислить алименты по исполнительному документу нужно в трехдневный срок со дня выплаты зарплаты или иного дохода сотруднику (</w:t>
      </w:r>
      <w:hyperlink r:id="rId47" w:tooltip="&quot;Семейный кодекс Российской Федерации&quot; от 29.12.1995 N 223-ФЗ (ред. от 23.11.2024) (с изм. и доп., вступ. в силу с 05.02.2025) {КонсультантПлюс}" w:history="1">
        <w:r w:rsidRPr="00A85B35">
          <w:rPr>
            <w:rStyle w:val="a3"/>
            <w:rFonts w:ascii="Times New Roman" w:hAnsi="Times New Roman" w:cs="Times New Roman"/>
            <w:color w:val="0D0D0D" w:themeColor="text1" w:themeTint="F2"/>
            <w:sz w:val="24"/>
            <w:szCs w:val="24"/>
            <w:u w:val="none"/>
          </w:rPr>
          <w:t>ст. 109</w:t>
        </w:r>
      </w:hyperlink>
      <w:r w:rsidRPr="00A85B35">
        <w:rPr>
          <w:rFonts w:ascii="Times New Roman" w:hAnsi="Times New Roman" w:cs="Times New Roman"/>
          <w:color w:val="0D0D0D" w:themeColor="text1" w:themeTint="F2"/>
          <w:sz w:val="24"/>
          <w:szCs w:val="24"/>
        </w:rPr>
        <w:t xml:space="preserve"> СК РФ, </w:t>
      </w:r>
      <w:hyperlink r:id="rId48" w:tooltip="Федеральный закон от 02.10.2007 N 229-ФЗ (ред. от 31.07.2025) &quot;Об исполнительном производстве&quot; {КонсультантПлюс}" w:history="1">
        <w:r w:rsidRPr="00A85B35">
          <w:rPr>
            <w:rStyle w:val="a3"/>
            <w:rFonts w:ascii="Times New Roman" w:hAnsi="Times New Roman" w:cs="Times New Roman"/>
            <w:color w:val="0D0D0D" w:themeColor="text1" w:themeTint="F2"/>
            <w:sz w:val="24"/>
            <w:szCs w:val="24"/>
            <w:u w:val="none"/>
          </w:rPr>
          <w:t>ч. 3 ст. 98</w:t>
        </w:r>
      </w:hyperlink>
      <w:r w:rsidRPr="00A85B35">
        <w:rPr>
          <w:rFonts w:ascii="Times New Roman" w:hAnsi="Times New Roman" w:cs="Times New Roman"/>
          <w:color w:val="0D0D0D" w:themeColor="text1" w:themeTint="F2"/>
          <w:sz w:val="24"/>
          <w:szCs w:val="24"/>
        </w:rPr>
        <w:t xml:space="preserve"> Закона об исполнительном производстве).</w:t>
      </w:r>
    </w:p>
    <w:p w:rsidR="0037443D" w:rsidRPr="00A85B35" w:rsidRDefault="0037443D" w:rsidP="00FA4BAE">
      <w:pPr>
        <w:pStyle w:val="ConsPlusNormal"/>
        <w:ind w:firstLine="709"/>
        <w:jc w:val="both"/>
        <w:rPr>
          <w:rFonts w:ascii="Times New Roman" w:hAnsi="Times New Roman" w:cs="Times New Roman"/>
          <w:color w:val="0D0D0D" w:themeColor="text1" w:themeTint="F2"/>
          <w:sz w:val="24"/>
          <w:szCs w:val="24"/>
        </w:rPr>
      </w:pPr>
      <w:r w:rsidRPr="00A85B35">
        <w:rPr>
          <w:rFonts w:ascii="Times New Roman" w:hAnsi="Times New Roman" w:cs="Times New Roman"/>
          <w:color w:val="0D0D0D" w:themeColor="text1" w:themeTint="F2"/>
          <w:sz w:val="24"/>
          <w:szCs w:val="24"/>
        </w:rPr>
        <w:t>В полях с данными плательщика ука</w:t>
      </w:r>
      <w:r w:rsidR="00280F15" w:rsidRPr="00A85B35">
        <w:rPr>
          <w:rFonts w:ascii="Times New Roman" w:hAnsi="Times New Roman" w:cs="Times New Roman"/>
          <w:color w:val="0D0D0D" w:themeColor="text1" w:themeTint="F2"/>
          <w:sz w:val="24"/>
          <w:szCs w:val="24"/>
        </w:rPr>
        <w:t xml:space="preserve">зываются </w:t>
      </w:r>
      <w:r w:rsidRPr="00A85B35">
        <w:rPr>
          <w:rFonts w:ascii="Times New Roman" w:hAnsi="Times New Roman" w:cs="Times New Roman"/>
          <w:color w:val="0D0D0D" w:themeColor="text1" w:themeTint="F2"/>
          <w:sz w:val="24"/>
          <w:szCs w:val="24"/>
        </w:rPr>
        <w:t>ваши реквизиты.</w:t>
      </w:r>
    </w:p>
    <w:p w:rsidR="0037443D" w:rsidRPr="00A85B35" w:rsidRDefault="0037443D" w:rsidP="00FA4BAE">
      <w:pPr>
        <w:pStyle w:val="ConsPlusNormal"/>
        <w:ind w:firstLine="709"/>
        <w:jc w:val="both"/>
        <w:rPr>
          <w:rFonts w:ascii="Times New Roman" w:hAnsi="Times New Roman" w:cs="Times New Roman"/>
          <w:color w:val="0D0D0D" w:themeColor="text1" w:themeTint="F2"/>
          <w:sz w:val="24"/>
          <w:szCs w:val="24"/>
        </w:rPr>
      </w:pPr>
      <w:r w:rsidRPr="00A85B35">
        <w:rPr>
          <w:rFonts w:ascii="Times New Roman" w:hAnsi="Times New Roman" w:cs="Times New Roman"/>
          <w:color w:val="0D0D0D" w:themeColor="text1" w:themeTint="F2"/>
          <w:sz w:val="24"/>
          <w:szCs w:val="24"/>
        </w:rPr>
        <w:t xml:space="preserve">Реквизиты получателя платежа </w:t>
      </w:r>
      <w:r w:rsidR="00280F15" w:rsidRPr="00A85B35">
        <w:rPr>
          <w:rFonts w:ascii="Times New Roman" w:hAnsi="Times New Roman" w:cs="Times New Roman"/>
          <w:color w:val="0D0D0D" w:themeColor="text1" w:themeTint="F2"/>
          <w:sz w:val="24"/>
          <w:szCs w:val="24"/>
        </w:rPr>
        <w:t xml:space="preserve">берутся </w:t>
      </w:r>
      <w:r w:rsidRPr="00A85B35">
        <w:rPr>
          <w:rFonts w:ascii="Times New Roman" w:hAnsi="Times New Roman" w:cs="Times New Roman"/>
          <w:color w:val="0D0D0D" w:themeColor="text1" w:themeTint="F2"/>
          <w:sz w:val="24"/>
          <w:szCs w:val="24"/>
        </w:rPr>
        <w:t>из документов, на основании которых перечисля</w:t>
      </w:r>
      <w:r w:rsidR="00280F15" w:rsidRPr="00A85B35">
        <w:rPr>
          <w:rFonts w:ascii="Times New Roman" w:hAnsi="Times New Roman" w:cs="Times New Roman"/>
          <w:color w:val="0D0D0D" w:themeColor="text1" w:themeTint="F2"/>
          <w:sz w:val="24"/>
          <w:szCs w:val="24"/>
        </w:rPr>
        <w:t xml:space="preserve">ются </w:t>
      </w:r>
      <w:r w:rsidRPr="00A85B35">
        <w:rPr>
          <w:rFonts w:ascii="Times New Roman" w:hAnsi="Times New Roman" w:cs="Times New Roman"/>
          <w:color w:val="0D0D0D" w:themeColor="text1" w:themeTint="F2"/>
          <w:sz w:val="24"/>
          <w:szCs w:val="24"/>
        </w:rPr>
        <w:t>алименты (например, из постановления судебного пристава-исполнителя).</w:t>
      </w:r>
    </w:p>
    <w:p w:rsidR="0037443D" w:rsidRPr="00A85B35" w:rsidRDefault="0037443D" w:rsidP="00FA4BAE">
      <w:pPr>
        <w:pStyle w:val="ConsPlusNormal"/>
        <w:ind w:firstLine="709"/>
        <w:jc w:val="both"/>
        <w:rPr>
          <w:rFonts w:ascii="Times New Roman" w:hAnsi="Times New Roman" w:cs="Times New Roman"/>
          <w:color w:val="0D0D0D" w:themeColor="text1" w:themeTint="F2"/>
          <w:sz w:val="24"/>
          <w:szCs w:val="24"/>
        </w:rPr>
      </w:pPr>
      <w:r w:rsidRPr="00A85B35">
        <w:rPr>
          <w:rFonts w:ascii="Times New Roman" w:hAnsi="Times New Roman" w:cs="Times New Roman"/>
          <w:color w:val="0D0D0D" w:themeColor="text1" w:themeTint="F2"/>
          <w:sz w:val="24"/>
          <w:szCs w:val="24"/>
        </w:rPr>
        <w:t xml:space="preserve">В </w:t>
      </w:r>
      <w:hyperlink r:id="rId49" w:tooltip="Положение Банка России от 29.06.2021 N 762-П (ред. от 03.08.2023) &quot;О правилах осуществления перевода денежных средств&quot; (Зарегистрировано в Минюсте России 25.08.2021 N 64765) {КонсультантПлюс}" w:history="1">
        <w:r w:rsidRPr="00A85B35">
          <w:rPr>
            <w:rStyle w:val="a3"/>
            <w:rFonts w:ascii="Times New Roman" w:hAnsi="Times New Roman" w:cs="Times New Roman"/>
            <w:color w:val="0D0D0D" w:themeColor="text1" w:themeTint="F2"/>
            <w:sz w:val="24"/>
            <w:szCs w:val="24"/>
            <w:u w:val="none"/>
          </w:rPr>
          <w:t>полях 6</w:t>
        </w:r>
      </w:hyperlink>
      <w:r w:rsidRPr="00A85B35">
        <w:rPr>
          <w:rFonts w:ascii="Times New Roman" w:hAnsi="Times New Roman" w:cs="Times New Roman"/>
          <w:color w:val="0D0D0D" w:themeColor="text1" w:themeTint="F2"/>
          <w:sz w:val="24"/>
          <w:szCs w:val="24"/>
        </w:rPr>
        <w:t xml:space="preserve"> и </w:t>
      </w:r>
      <w:hyperlink r:id="rId50" w:tooltip="Положение Банка России от 29.06.2021 N 762-П (ред. от 03.08.2023) &quot;О правилах осуществления перевода денежных средств&quot; (Зарегистрировано в Минюсте России 25.08.2021 N 64765) {КонсультантПлюс}" w:history="1">
        <w:r w:rsidRPr="00A85B35">
          <w:rPr>
            <w:rStyle w:val="a3"/>
            <w:rFonts w:ascii="Times New Roman" w:hAnsi="Times New Roman" w:cs="Times New Roman"/>
            <w:color w:val="0D0D0D" w:themeColor="text1" w:themeTint="F2"/>
            <w:sz w:val="24"/>
            <w:szCs w:val="24"/>
            <w:u w:val="none"/>
          </w:rPr>
          <w:t>7</w:t>
        </w:r>
      </w:hyperlink>
      <w:r w:rsidRPr="00A85B35">
        <w:rPr>
          <w:rFonts w:ascii="Times New Roman" w:hAnsi="Times New Roman" w:cs="Times New Roman"/>
          <w:color w:val="0D0D0D" w:themeColor="text1" w:themeTint="F2"/>
          <w:sz w:val="24"/>
          <w:szCs w:val="24"/>
        </w:rPr>
        <w:t xml:space="preserve"> </w:t>
      </w:r>
      <w:r w:rsidR="00280F15" w:rsidRPr="00A85B35">
        <w:rPr>
          <w:rFonts w:ascii="Times New Roman" w:hAnsi="Times New Roman" w:cs="Times New Roman"/>
          <w:color w:val="0D0D0D" w:themeColor="text1" w:themeTint="F2"/>
          <w:sz w:val="24"/>
          <w:szCs w:val="24"/>
        </w:rPr>
        <w:t xml:space="preserve">указывается </w:t>
      </w:r>
      <w:r w:rsidRPr="00A85B35">
        <w:rPr>
          <w:rFonts w:ascii="Times New Roman" w:hAnsi="Times New Roman" w:cs="Times New Roman"/>
          <w:color w:val="0D0D0D" w:themeColor="text1" w:themeTint="F2"/>
          <w:sz w:val="24"/>
          <w:szCs w:val="24"/>
        </w:rPr>
        <w:t>сумм</w:t>
      </w:r>
      <w:r w:rsidR="00280F15" w:rsidRPr="00A85B35">
        <w:rPr>
          <w:rFonts w:ascii="Times New Roman" w:hAnsi="Times New Roman" w:cs="Times New Roman"/>
          <w:color w:val="0D0D0D" w:themeColor="text1" w:themeTint="F2"/>
          <w:sz w:val="24"/>
          <w:szCs w:val="24"/>
        </w:rPr>
        <w:t>а</w:t>
      </w:r>
      <w:r w:rsidRPr="00A85B35">
        <w:rPr>
          <w:rFonts w:ascii="Times New Roman" w:hAnsi="Times New Roman" w:cs="Times New Roman"/>
          <w:color w:val="0D0D0D" w:themeColor="text1" w:themeTint="F2"/>
          <w:sz w:val="24"/>
          <w:szCs w:val="24"/>
        </w:rPr>
        <w:t xml:space="preserve"> удержанных алиментов. Напомним, что при перечислении алиментов по исполнительному документу их размер не должен превышать 70% дохода работника (</w:t>
      </w:r>
      <w:hyperlink r:id="rId51" w:tooltip="&quot;Трудовой кодекс Российской Федерации&quot; от 30.12.2001 N 197-ФЗ (ред. от 29.09.2025) {КонсультантПлюс}" w:history="1">
        <w:r w:rsidRPr="00A85B35">
          <w:rPr>
            <w:rStyle w:val="a3"/>
            <w:rFonts w:ascii="Times New Roman" w:hAnsi="Times New Roman" w:cs="Times New Roman"/>
            <w:color w:val="0D0D0D" w:themeColor="text1" w:themeTint="F2"/>
            <w:sz w:val="24"/>
            <w:szCs w:val="24"/>
            <w:u w:val="none"/>
          </w:rPr>
          <w:t>ст. 138</w:t>
        </w:r>
      </w:hyperlink>
      <w:r w:rsidRPr="00A85B35">
        <w:rPr>
          <w:rFonts w:ascii="Times New Roman" w:hAnsi="Times New Roman" w:cs="Times New Roman"/>
          <w:color w:val="0D0D0D" w:themeColor="text1" w:themeTint="F2"/>
          <w:sz w:val="24"/>
          <w:szCs w:val="24"/>
        </w:rPr>
        <w:t xml:space="preserve"> ТК РФ, </w:t>
      </w:r>
      <w:hyperlink r:id="rId52" w:tooltip="Федеральный закон от 02.10.2007 N 229-ФЗ (ред. от 31.07.2025) &quot;Об исполнительном производстве&quot; {КонсультантПлюс}" w:history="1">
        <w:r w:rsidRPr="00A85B35">
          <w:rPr>
            <w:rStyle w:val="a3"/>
            <w:rFonts w:ascii="Times New Roman" w:hAnsi="Times New Roman" w:cs="Times New Roman"/>
            <w:color w:val="0D0D0D" w:themeColor="text1" w:themeTint="F2"/>
            <w:sz w:val="24"/>
            <w:szCs w:val="24"/>
            <w:u w:val="none"/>
          </w:rPr>
          <w:t>ч. 3 ст. 99</w:t>
        </w:r>
      </w:hyperlink>
      <w:r w:rsidRPr="00A85B35">
        <w:rPr>
          <w:rFonts w:ascii="Times New Roman" w:hAnsi="Times New Roman" w:cs="Times New Roman"/>
          <w:color w:val="0D0D0D" w:themeColor="text1" w:themeTint="F2"/>
          <w:sz w:val="24"/>
          <w:szCs w:val="24"/>
        </w:rPr>
        <w:t xml:space="preserve"> Закона об исполнительном производстве).</w:t>
      </w:r>
    </w:p>
    <w:p w:rsidR="0037443D" w:rsidRPr="00A85B35" w:rsidRDefault="0037443D" w:rsidP="00FA4BAE">
      <w:pPr>
        <w:pStyle w:val="ConsPlusNormal"/>
        <w:ind w:firstLine="709"/>
        <w:jc w:val="both"/>
        <w:rPr>
          <w:rFonts w:ascii="Times New Roman" w:hAnsi="Times New Roman" w:cs="Times New Roman"/>
          <w:color w:val="0D0D0D" w:themeColor="text1" w:themeTint="F2"/>
          <w:sz w:val="24"/>
          <w:szCs w:val="24"/>
        </w:rPr>
      </w:pPr>
      <w:r w:rsidRPr="00A85B35">
        <w:rPr>
          <w:rFonts w:ascii="Times New Roman" w:hAnsi="Times New Roman" w:cs="Times New Roman"/>
          <w:color w:val="0D0D0D" w:themeColor="text1" w:themeTint="F2"/>
          <w:sz w:val="24"/>
          <w:szCs w:val="24"/>
        </w:rPr>
        <w:t xml:space="preserve">В </w:t>
      </w:r>
      <w:hyperlink r:id="rId53" w:tooltip="Положение Банка России от 29.06.2021 N 762-П (ред. от 03.08.2023) &quot;О правилах осуществления перевода денежных средств&quot; (Зарегистрировано в Минюсте России 25.08.2021 N 64765) {КонсультантПлюс}" w:history="1">
        <w:r w:rsidRPr="00A85B35">
          <w:rPr>
            <w:rStyle w:val="a3"/>
            <w:rFonts w:ascii="Times New Roman" w:hAnsi="Times New Roman" w:cs="Times New Roman"/>
            <w:color w:val="0D0D0D" w:themeColor="text1" w:themeTint="F2"/>
            <w:sz w:val="24"/>
            <w:szCs w:val="24"/>
            <w:u w:val="none"/>
          </w:rPr>
          <w:t>поле 20</w:t>
        </w:r>
      </w:hyperlink>
      <w:r w:rsidRPr="00A85B35">
        <w:rPr>
          <w:rFonts w:ascii="Times New Roman" w:hAnsi="Times New Roman" w:cs="Times New Roman"/>
          <w:color w:val="0D0D0D" w:themeColor="text1" w:themeTint="F2"/>
          <w:sz w:val="24"/>
          <w:szCs w:val="24"/>
        </w:rPr>
        <w:t xml:space="preserve"> ука</w:t>
      </w:r>
      <w:r w:rsidR="00280F15" w:rsidRPr="00A85B35">
        <w:rPr>
          <w:rFonts w:ascii="Times New Roman" w:hAnsi="Times New Roman" w:cs="Times New Roman"/>
          <w:color w:val="0D0D0D" w:themeColor="text1" w:themeTint="F2"/>
          <w:sz w:val="24"/>
          <w:szCs w:val="24"/>
        </w:rPr>
        <w:t xml:space="preserve">зывается </w:t>
      </w:r>
      <w:r w:rsidRPr="00A85B35">
        <w:rPr>
          <w:rFonts w:ascii="Times New Roman" w:hAnsi="Times New Roman" w:cs="Times New Roman"/>
          <w:color w:val="0D0D0D" w:themeColor="text1" w:themeTint="F2"/>
          <w:sz w:val="24"/>
          <w:szCs w:val="24"/>
        </w:rPr>
        <w:t>код "2" (</w:t>
      </w:r>
      <w:hyperlink r:id="rId54" w:tooltip="Положение Банка России от 29.06.2021 N 762-П (ред. от 03.08.2023) &quot;О правилах осуществления перевода денежных средств&quot; (Зарегистрировано в Минюсте России 25.08.2021 N 64765) {КонсультантПлюс}" w:history="1">
        <w:r w:rsidRPr="00A85B35">
          <w:rPr>
            <w:rStyle w:val="a3"/>
            <w:rFonts w:ascii="Times New Roman" w:hAnsi="Times New Roman" w:cs="Times New Roman"/>
            <w:color w:val="0D0D0D" w:themeColor="text1" w:themeTint="F2"/>
            <w:sz w:val="24"/>
            <w:szCs w:val="24"/>
            <w:u w:val="none"/>
          </w:rPr>
          <w:t>п. п. 1.11</w:t>
        </w:r>
      </w:hyperlink>
      <w:r w:rsidRPr="00A85B35">
        <w:rPr>
          <w:rFonts w:ascii="Times New Roman" w:hAnsi="Times New Roman" w:cs="Times New Roman"/>
          <w:color w:val="0D0D0D" w:themeColor="text1" w:themeTint="F2"/>
          <w:sz w:val="24"/>
          <w:szCs w:val="24"/>
        </w:rPr>
        <w:t xml:space="preserve">, </w:t>
      </w:r>
      <w:hyperlink r:id="rId55" w:tooltip="Положение Банка России от 29.06.2021 N 762-П (ред. от 03.08.2023) &quot;О правилах осуществления перевода денежных средств&quot; (Зарегистрировано в Минюсте России 25.08.2021 N 64765) {КонсультантПлюс}" w:history="1">
        <w:r w:rsidRPr="00A85B35">
          <w:rPr>
            <w:rStyle w:val="a3"/>
            <w:rFonts w:ascii="Times New Roman" w:hAnsi="Times New Roman" w:cs="Times New Roman"/>
            <w:color w:val="0D0D0D" w:themeColor="text1" w:themeTint="F2"/>
            <w:sz w:val="24"/>
            <w:szCs w:val="24"/>
            <w:u w:val="none"/>
          </w:rPr>
          <w:t>5.7</w:t>
        </w:r>
      </w:hyperlink>
      <w:r w:rsidRPr="00A85B35">
        <w:rPr>
          <w:rFonts w:ascii="Times New Roman" w:hAnsi="Times New Roman" w:cs="Times New Roman"/>
          <w:color w:val="0D0D0D" w:themeColor="text1" w:themeTint="F2"/>
          <w:sz w:val="24"/>
          <w:szCs w:val="24"/>
        </w:rPr>
        <w:t xml:space="preserve"> Положения Банка России от 29.06.2021 N 762-П, </w:t>
      </w:r>
      <w:hyperlink r:id="rId56" w:tooltip="Положение Банка России от 29.06.2021 N 762-П (ред. от 03.08.2023) &quot;О правилах осуществления перевода денежных средств&quot; (Зарегистрировано в Минюсте России 25.08.2021 N 64765) {КонсультантПлюс}" w:history="1">
        <w:r w:rsidRPr="00A85B35">
          <w:rPr>
            <w:rStyle w:val="a3"/>
            <w:rFonts w:ascii="Times New Roman" w:hAnsi="Times New Roman" w:cs="Times New Roman"/>
            <w:color w:val="0D0D0D" w:themeColor="text1" w:themeTint="F2"/>
            <w:sz w:val="24"/>
            <w:szCs w:val="24"/>
            <w:u w:val="none"/>
          </w:rPr>
          <w:t>Приложение 1</w:t>
        </w:r>
      </w:hyperlink>
      <w:r w:rsidRPr="00A85B35">
        <w:rPr>
          <w:rFonts w:ascii="Times New Roman" w:hAnsi="Times New Roman" w:cs="Times New Roman"/>
          <w:color w:val="0D0D0D" w:themeColor="text1" w:themeTint="F2"/>
          <w:sz w:val="24"/>
          <w:szCs w:val="24"/>
        </w:rPr>
        <w:t xml:space="preserve"> к этому Положению).</w:t>
      </w:r>
    </w:p>
    <w:p w:rsidR="0037443D" w:rsidRPr="00A85B35" w:rsidRDefault="0037443D" w:rsidP="00FA4BAE">
      <w:pPr>
        <w:pStyle w:val="ConsPlusNormal"/>
        <w:ind w:firstLine="709"/>
        <w:jc w:val="both"/>
        <w:rPr>
          <w:rFonts w:ascii="Times New Roman" w:hAnsi="Times New Roman" w:cs="Times New Roman"/>
          <w:color w:val="0D0D0D" w:themeColor="text1" w:themeTint="F2"/>
          <w:sz w:val="24"/>
          <w:szCs w:val="24"/>
        </w:rPr>
      </w:pPr>
      <w:r w:rsidRPr="00A85B35">
        <w:rPr>
          <w:rFonts w:ascii="Times New Roman" w:hAnsi="Times New Roman" w:cs="Times New Roman"/>
          <w:color w:val="0D0D0D" w:themeColor="text1" w:themeTint="F2"/>
          <w:sz w:val="24"/>
          <w:szCs w:val="24"/>
        </w:rPr>
        <w:t xml:space="preserve">Очередность платежа при перечислении алиментов </w:t>
      </w:r>
      <w:r w:rsidR="00280F15" w:rsidRPr="00A85B35">
        <w:rPr>
          <w:rFonts w:ascii="Times New Roman" w:hAnsi="Times New Roman" w:cs="Times New Roman"/>
          <w:color w:val="0D0D0D" w:themeColor="text1" w:themeTint="F2"/>
          <w:sz w:val="24"/>
          <w:szCs w:val="24"/>
        </w:rPr>
        <w:t xml:space="preserve">указывается </w:t>
      </w:r>
      <w:r w:rsidRPr="00A85B35">
        <w:rPr>
          <w:rFonts w:ascii="Times New Roman" w:hAnsi="Times New Roman" w:cs="Times New Roman"/>
          <w:color w:val="0D0D0D" w:themeColor="text1" w:themeTint="F2"/>
          <w:sz w:val="24"/>
          <w:szCs w:val="24"/>
        </w:rPr>
        <w:t xml:space="preserve">в </w:t>
      </w:r>
      <w:hyperlink r:id="rId57" w:tooltip="Положение Банка России от 29.06.2021 N 762-П (ред. от 03.08.2023) &quot;О правилах осуществления перевода денежных средств&quot; (Зарегистрировано в Минюсте России 25.08.2021 N 64765) {КонсультантПлюс}" w:history="1">
        <w:r w:rsidRPr="00A85B35">
          <w:rPr>
            <w:rStyle w:val="a3"/>
            <w:rFonts w:ascii="Times New Roman" w:hAnsi="Times New Roman" w:cs="Times New Roman"/>
            <w:color w:val="0D0D0D" w:themeColor="text1" w:themeTint="F2"/>
            <w:sz w:val="24"/>
            <w:szCs w:val="24"/>
            <w:u w:val="none"/>
          </w:rPr>
          <w:t>поле 21</w:t>
        </w:r>
      </w:hyperlink>
      <w:r w:rsidRPr="00A85B35">
        <w:rPr>
          <w:rFonts w:ascii="Times New Roman" w:hAnsi="Times New Roman" w:cs="Times New Roman"/>
          <w:color w:val="0D0D0D" w:themeColor="text1" w:themeTint="F2"/>
          <w:sz w:val="24"/>
          <w:szCs w:val="24"/>
        </w:rPr>
        <w:t xml:space="preserve">. Она зависит от того, в каком порядке вы их перечисляете. Если по исполнительному документу - укажите "1". Если исполнительного документа нет и вы перечисляете алименты по </w:t>
      </w:r>
      <w:r w:rsidRPr="00A85B35">
        <w:rPr>
          <w:rFonts w:ascii="Times New Roman" w:hAnsi="Times New Roman" w:cs="Times New Roman"/>
          <w:color w:val="0D0D0D" w:themeColor="text1" w:themeTint="F2"/>
          <w:sz w:val="24"/>
          <w:szCs w:val="24"/>
        </w:rPr>
        <w:lastRenderedPageBreak/>
        <w:t>поручению работника, то, н</w:t>
      </w:r>
      <w:r w:rsidR="00280F15" w:rsidRPr="00A85B35">
        <w:rPr>
          <w:rFonts w:ascii="Times New Roman" w:hAnsi="Times New Roman" w:cs="Times New Roman"/>
          <w:color w:val="0D0D0D" w:themeColor="text1" w:themeTint="F2"/>
          <w:sz w:val="24"/>
          <w:szCs w:val="24"/>
        </w:rPr>
        <w:t xml:space="preserve">еобходимо </w:t>
      </w:r>
      <w:r w:rsidRPr="00A85B35">
        <w:rPr>
          <w:rFonts w:ascii="Times New Roman" w:hAnsi="Times New Roman" w:cs="Times New Roman"/>
          <w:color w:val="0D0D0D" w:themeColor="text1" w:themeTint="F2"/>
          <w:sz w:val="24"/>
          <w:szCs w:val="24"/>
        </w:rPr>
        <w:t>указать "3", как для зарплаты, так как заявление работника не является исполнительным документом (</w:t>
      </w:r>
      <w:hyperlink r:id="rId58" w:tooltip="&quot;Гражданский кодекс Российской Федерации (часть вторая)&quot; от 26.01.1996 N 14-ФЗ (ред. от 24.06.2025) {КонсультантПлюс}" w:history="1">
        <w:r w:rsidRPr="00A85B35">
          <w:rPr>
            <w:rStyle w:val="a3"/>
            <w:rFonts w:ascii="Times New Roman" w:hAnsi="Times New Roman" w:cs="Times New Roman"/>
            <w:color w:val="0D0D0D" w:themeColor="text1" w:themeTint="F2"/>
            <w:sz w:val="24"/>
            <w:szCs w:val="24"/>
            <w:u w:val="none"/>
          </w:rPr>
          <w:t>п. 2 ст. 855</w:t>
        </w:r>
      </w:hyperlink>
      <w:r w:rsidRPr="00A85B35">
        <w:rPr>
          <w:rFonts w:ascii="Times New Roman" w:hAnsi="Times New Roman" w:cs="Times New Roman"/>
          <w:color w:val="0D0D0D" w:themeColor="text1" w:themeTint="F2"/>
          <w:sz w:val="24"/>
          <w:szCs w:val="24"/>
        </w:rPr>
        <w:t xml:space="preserve"> ГК РФ).</w:t>
      </w:r>
    </w:p>
    <w:p w:rsidR="0037443D" w:rsidRPr="00A85B35" w:rsidRDefault="0037443D" w:rsidP="00FA4BAE">
      <w:pPr>
        <w:pStyle w:val="ConsPlusNormal"/>
        <w:ind w:firstLine="709"/>
        <w:jc w:val="both"/>
        <w:rPr>
          <w:rFonts w:ascii="Times New Roman" w:hAnsi="Times New Roman" w:cs="Times New Roman"/>
          <w:color w:val="0D0D0D" w:themeColor="text1" w:themeTint="F2"/>
          <w:sz w:val="24"/>
          <w:szCs w:val="24"/>
        </w:rPr>
      </w:pPr>
      <w:r w:rsidRPr="00A85B35">
        <w:rPr>
          <w:rFonts w:ascii="Times New Roman" w:hAnsi="Times New Roman" w:cs="Times New Roman"/>
          <w:color w:val="0D0D0D" w:themeColor="text1" w:themeTint="F2"/>
          <w:sz w:val="24"/>
          <w:szCs w:val="24"/>
        </w:rPr>
        <w:t xml:space="preserve">В </w:t>
      </w:r>
      <w:hyperlink r:id="rId59" w:tooltip="Положение Банка России от 29.06.2021 N 762-П (ред. от 03.08.2023) &quot;О правилах осуществления перевода денежных средств&quot; (Зарегистрировано в Минюсте России 25.08.2021 N 64765) {КонсультантПлюс}" w:history="1">
        <w:r w:rsidRPr="00A85B35">
          <w:rPr>
            <w:rStyle w:val="a3"/>
            <w:rFonts w:ascii="Times New Roman" w:hAnsi="Times New Roman" w:cs="Times New Roman"/>
            <w:color w:val="0D0D0D" w:themeColor="text1" w:themeTint="F2"/>
            <w:sz w:val="24"/>
            <w:szCs w:val="24"/>
            <w:u w:val="none"/>
          </w:rPr>
          <w:t>поле 22</w:t>
        </w:r>
      </w:hyperlink>
      <w:r w:rsidRPr="00A85B35">
        <w:rPr>
          <w:rFonts w:ascii="Times New Roman" w:hAnsi="Times New Roman" w:cs="Times New Roman"/>
          <w:color w:val="0D0D0D" w:themeColor="text1" w:themeTint="F2"/>
          <w:sz w:val="24"/>
          <w:szCs w:val="24"/>
        </w:rPr>
        <w:t xml:space="preserve"> </w:t>
      </w:r>
      <w:r w:rsidR="00280F15" w:rsidRPr="00A85B35">
        <w:rPr>
          <w:rFonts w:ascii="Times New Roman" w:hAnsi="Times New Roman" w:cs="Times New Roman"/>
          <w:color w:val="0D0D0D" w:themeColor="text1" w:themeTint="F2"/>
          <w:sz w:val="24"/>
          <w:szCs w:val="24"/>
        </w:rPr>
        <w:t xml:space="preserve">указывается </w:t>
      </w:r>
      <w:r w:rsidRPr="00A85B35">
        <w:rPr>
          <w:rFonts w:ascii="Times New Roman" w:hAnsi="Times New Roman" w:cs="Times New Roman"/>
          <w:color w:val="0D0D0D" w:themeColor="text1" w:themeTint="F2"/>
          <w:sz w:val="24"/>
          <w:szCs w:val="24"/>
        </w:rPr>
        <w:t>уникальный идентификатор начисления по исполнительному производству (УИН). Приставы должны его включать в исполнительный документ с требованием о взыскании (</w:t>
      </w:r>
      <w:hyperlink r:id="rId60" w:tooltip="Федеральный закон от 02.10.2007 N 229-ФЗ (ред. от 31.07.2025) &quot;Об исполнительном производстве&quot; {КонсультантПлюс}" w:history="1">
        <w:r w:rsidRPr="00A85B35">
          <w:rPr>
            <w:rStyle w:val="a3"/>
            <w:rFonts w:ascii="Times New Roman" w:hAnsi="Times New Roman" w:cs="Times New Roman"/>
            <w:color w:val="0D0D0D" w:themeColor="text1" w:themeTint="F2"/>
            <w:sz w:val="24"/>
            <w:szCs w:val="24"/>
            <w:u w:val="none"/>
          </w:rPr>
          <w:t>ч. 1.1 ст. 13</w:t>
        </w:r>
      </w:hyperlink>
      <w:r w:rsidRPr="00A85B35">
        <w:rPr>
          <w:rFonts w:ascii="Times New Roman" w:hAnsi="Times New Roman" w:cs="Times New Roman"/>
          <w:color w:val="0D0D0D" w:themeColor="text1" w:themeTint="F2"/>
          <w:sz w:val="24"/>
          <w:szCs w:val="24"/>
        </w:rPr>
        <w:t xml:space="preserve"> Федерального закона от 02.10.2007 N 229-ФЗ). Без УИН банк не вправе делать перевод по вашему поручению (</w:t>
      </w:r>
      <w:hyperlink r:id="rId61" w:tooltip="Федеральный закон от 02.10.2007 N 229-ФЗ (ред. от 31.07.2025) &quot;Об исполнительном производстве&quot; {КонсультантПлюс}" w:history="1">
        <w:r w:rsidRPr="00A85B35">
          <w:rPr>
            <w:rStyle w:val="a3"/>
            <w:rFonts w:ascii="Times New Roman" w:hAnsi="Times New Roman" w:cs="Times New Roman"/>
            <w:color w:val="0D0D0D" w:themeColor="text1" w:themeTint="F2"/>
            <w:sz w:val="24"/>
            <w:szCs w:val="24"/>
            <w:u w:val="none"/>
          </w:rPr>
          <w:t>ч. 5 ст. 6.1</w:t>
        </w:r>
      </w:hyperlink>
      <w:r w:rsidRPr="00A85B35">
        <w:rPr>
          <w:rFonts w:ascii="Times New Roman" w:hAnsi="Times New Roman" w:cs="Times New Roman"/>
          <w:color w:val="0D0D0D" w:themeColor="text1" w:themeTint="F2"/>
          <w:sz w:val="24"/>
          <w:szCs w:val="24"/>
        </w:rPr>
        <w:t xml:space="preserve"> этого Закона).</w:t>
      </w:r>
    </w:p>
    <w:p w:rsidR="0037443D" w:rsidRPr="00A85B35" w:rsidRDefault="0037443D" w:rsidP="00FA4BAE">
      <w:pPr>
        <w:pStyle w:val="ConsPlusNormal"/>
        <w:ind w:firstLine="709"/>
        <w:jc w:val="both"/>
        <w:rPr>
          <w:rFonts w:ascii="Times New Roman" w:hAnsi="Times New Roman" w:cs="Times New Roman"/>
          <w:color w:val="0D0D0D" w:themeColor="text1" w:themeTint="F2"/>
          <w:sz w:val="24"/>
          <w:szCs w:val="24"/>
        </w:rPr>
      </w:pPr>
      <w:r w:rsidRPr="00A85B35">
        <w:rPr>
          <w:rFonts w:ascii="Times New Roman" w:hAnsi="Times New Roman" w:cs="Times New Roman"/>
          <w:color w:val="0D0D0D" w:themeColor="text1" w:themeTint="F2"/>
          <w:sz w:val="24"/>
          <w:szCs w:val="24"/>
        </w:rPr>
        <w:t xml:space="preserve">В </w:t>
      </w:r>
      <w:hyperlink r:id="rId62" w:tooltip="Положение Банка России от 29.06.2021 N 762-П (ред. от 03.08.2023) &quot;О правилах осуществления перевода денежных средств&quot; (Зарегистрировано в Минюсте России 25.08.2021 N 64765) {КонсультантПлюс}" w:history="1">
        <w:r w:rsidRPr="00A85B35">
          <w:rPr>
            <w:rStyle w:val="a3"/>
            <w:rFonts w:ascii="Times New Roman" w:hAnsi="Times New Roman" w:cs="Times New Roman"/>
            <w:color w:val="0D0D0D" w:themeColor="text1" w:themeTint="F2"/>
            <w:sz w:val="24"/>
            <w:szCs w:val="24"/>
            <w:u w:val="none"/>
          </w:rPr>
          <w:t>поле 24</w:t>
        </w:r>
      </w:hyperlink>
      <w:r w:rsidRPr="00A85B35">
        <w:rPr>
          <w:rFonts w:ascii="Times New Roman" w:hAnsi="Times New Roman" w:cs="Times New Roman"/>
          <w:color w:val="0D0D0D" w:themeColor="text1" w:themeTint="F2"/>
          <w:sz w:val="24"/>
          <w:szCs w:val="24"/>
        </w:rPr>
        <w:t xml:space="preserve"> (назначение платежа) кратко ука</w:t>
      </w:r>
      <w:r w:rsidR="00280F15" w:rsidRPr="00A85B35">
        <w:rPr>
          <w:rFonts w:ascii="Times New Roman" w:hAnsi="Times New Roman" w:cs="Times New Roman"/>
          <w:color w:val="0D0D0D" w:themeColor="text1" w:themeTint="F2"/>
          <w:sz w:val="24"/>
          <w:szCs w:val="24"/>
        </w:rPr>
        <w:t xml:space="preserve">зывается </w:t>
      </w:r>
      <w:r w:rsidRPr="00A85B35">
        <w:rPr>
          <w:rFonts w:ascii="Times New Roman" w:hAnsi="Times New Roman" w:cs="Times New Roman"/>
          <w:color w:val="0D0D0D" w:themeColor="text1" w:themeTint="F2"/>
          <w:sz w:val="24"/>
          <w:szCs w:val="24"/>
        </w:rPr>
        <w:t>документ, на основании которого перечисля</w:t>
      </w:r>
      <w:r w:rsidR="00280F15" w:rsidRPr="00A85B35">
        <w:rPr>
          <w:rFonts w:ascii="Times New Roman" w:hAnsi="Times New Roman" w:cs="Times New Roman"/>
          <w:color w:val="0D0D0D" w:themeColor="text1" w:themeTint="F2"/>
          <w:sz w:val="24"/>
          <w:szCs w:val="24"/>
        </w:rPr>
        <w:t xml:space="preserve">ются </w:t>
      </w:r>
      <w:r w:rsidRPr="00A85B35">
        <w:rPr>
          <w:rFonts w:ascii="Times New Roman" w:hAnsi="Times New Roman" w:cs="Times New Roman"/>
          <w:color w:val="0D0D0D" w:themeColor="text1" w:themeTint="F2"/>
          <w:sz w:val="24"/>
          <w:szCs w:val="24"/>
        </w:rPr>
        <w:t>алименты, и другие сведения о платеже, которые помогут его идентифицировать. Например, "Алименты, удержанные из зарплаты Потапова Петра Семеновича по исполнительному листу N 110/2 от 12.04.2022, за октябрь 2023 г. Без НДС".</w:t>
      </w:r>
    </w:p>
    <w:p w:rsidR="0037443D" w:rsidRPr="00A85B35" w:rsidRDefault="007D791C" w:rsidP="00FA4BAE">
      <w:pPr>
        <w:pStyle w:val="ConsPlusNormal"/>
        <w:ind w:firstLine="709"/>
        <w:jc w:val="both"/>
        <w:rPr>
          <w:rFonts w:ascii="Times New Roman" w:hAnsi="Times New Roman" w:cs="Times New Roman"/>
          <w:color w:val="0D0D0D" w:themeColor="text1" w:themeTint="F2"/>
          <w:sz w:val="24"/>
          <w:szCs w:val="24"/>
        </w:rPr>
      </w:pPr>
      <w:hyperlink r:id="rId63" w:tooltip="Положение Банка России от 29.06.2021 N 762-П (ред. от 03.08.2023) &quot;О правилах осуществления перевода денежных средств&quot; (Зарегистрировано в Минюсте России 25.08.2021 N 64765) {КонсультантПлюс}" w:history="1">
        <w:r w:rsidR="0037443D" w:rsidRPr="00A85B35">
          <w:rPr>
            <w:rStyle w:val="a3"/>
            <w:rFonts w:ascii="Times New Roman" w:hAnsi="Times New Roman" w:cs="Times New Roman"/>
            <w:color w:val="0D0D0D" w:themeColor="text1" w:themeTint="F2"/>
            <w:sz w:val="24"/>
            <w:szCs w:val="24"/>
            <w:u w:val="none"/>
          </w:rPr>
          <w:t>Поля 101</w:t>
        </w:r>
      </w:hyperlink>
      <w:r w:rsidR="0037443D" w:rsidRPr="00A85B35">
        <w:rPr>
          <w:rFonts w:ascii="Times New Roman" w:hAnsi="Times New Roman" w:cs="Times New Roman"/>
          <w:color w:val="0D0D0D" w:themeColor="text1" w:themeTint="F2"/>
          <w:sz w:val="24"/>
          <w:szCs w:val="24"/>
        </w:rPr>
        <w:t xml:space="preserve"> - </w:t>
      </w:r>
      <w:hyperlink r:id="rId64" w:tooltip="Положение Банка России от 29.06.2021 N 762-П (ред. от 03.08.2023) &quot;О правилах осуществления перевода денежных средств&quot; (Зарегистрировано в Минюсте России 25.08.2021 N 64765) {КонсультантПлюс}" w:history="1">
        <w:r w:rsidR="0037443D" w:rsidRPr="00A85B35">
          <w:rPr>
            <w:rStyle w:val="a3"/>
            <w:rFonts w:ascii="Times New Roman" w:hAnsi="Times New Roman" w:cs="Times New Roman"/>
            <w:color w:val="0D0D0D" w:themeColor="text1" w:themeTint="F2"/>
            <w:sz w:val="24"/>
            <w:szCs w:val="24"/>
            <w:u w:val="none"/>
          </w:rPr>
          <w:t>110</w:t>
        </w:r>
      </w:hyperlink>
      <w:r w:rsidR="0037443D" w:rsidRPr="00A85B35">
        <w:rPr>
          <w:rFonts w:ascii="Times New Roman" w:hAnsi="Times New Roman" w:cs="Times New Roman"/>
          <w:color w:val="0D0D0D" w:themeColor="text1" w:themeTint="F2"/>
          <w:sz w:val="24"/>
          <w:szCs w:val="24"/>
        </w:rPr>
        <w:t xml:space="preserve"> заполнять не нужно (</w:t>
      </w:r>
      <w:hyperlink r:id="rId65" w:tooltip="Положение Банка России от 29.06.2021 N 762-П (ред. от 03.08.2023) &quot;О правилах осуществления перевода денежных средств&quot; (Зарегистрировано в Минюсте России 25.08.2021 N 64765) {КонсультантПлюс}" w:history="1">
        <w:r w:rsidR="0037443D" w:rsidRPr="00A85B35">
          <w:rPr>
            <w:rStyle w:val="a3"/>
            <w:rFonts w:ascii="Times New Roman" w:hAnsi="Times New Roman" w:cs="Times New Roman"/>
            <w:color w:val="0D0D0D" w:themeColor="text1" w:themeTint="F2"/>
            <w:sz w:val="24"/>
            <w:szCs w:val="24"/>
            <w:u w:val="none"/>
          </w:rPr>
          <w:t>Приложение 1</w:t>
        </w:r>
      </w:hyperlink>
      <w:r w:rsidR="0037443D" w:rsidRPr="00A85B35">
        <w:rPr>
          <w:rFonts w:ascii="Times New Roman" w:hAnsi="Times New Roman" w:cs="Times New Roman"/>
          <w:color w:val="0D0D0D" w:themeColor="text1" w:themeTint="F2"/>
          <w:sz w:val="24"/>
          <w:szCs w:val="24"/>
        </w:rPr>
        <w:t xml:space="preserve"> к Положению Банка России от 29.06.2021 N 762-П).</w:t>
      </w:r>
    </w:p>
    <w:p w:rsidR="00FE339C" w:rsidRPr="00A85B35" w:rsidRDefault="0037443D" w:rsidP="00FA4BAE">
      <w:pPr>
        <w:pStyle w:val="ConsPlusNormal"/>
        <w:ind w:firstLine="709"/>
        <w:jc w:val="both"/>
        <w:rPr>
          <w:rFonts w:ascii="Times New Roman" w:hAnsi="Times New Roman" w:cs="Times New Roman"/>
          <w:color w:val="0D0D0D" w:themeColor="text1" w:themeTint="F2"/>
          <w:sz w:val="24"/>
          <w:szCs w:val="24"/>
        </w:rPr>
      </w:pPr>
      <w:r w:rsidRPr="00A85B35">
        <w:rPr>
          <w:rFonts w:ascii="Times New Roman" w:hAnsi="Times New Roman" w:cs="Times New Roman"/>
          <w:color w:val="0D0D0D" w:themeColor="text1" w:themeTint="F2"/>
          <w:sz w:val="24"/>
          <w:szCs w:val="24"/>
        </w:rPr>
        <w:t>Плате</w:t>
      </w:r>
      <w:bookmarkStart w:id="1" w:name="_GoBack"/>
      <w:bookmarkEnd w:id="1"/>
      <w:r w:rsidRPr="00A85B35">
        <w:rPr>
          <w:rFonts w:ascii="Times New Roman" w:hAnsi="Times New Roman" w:cs="Times New Roman"/>
          <w:color w:val="0D0D0D" w:themeColor="text1" w:themeTint="F2"/>
          <w:sz w:val="24"/>
          <w:szCs w:val="24"/>
        </w:rPr>
        <w:t>жное поручение подпи</w:t>
      </w:r>
      <w:r w:rsidR="00280F15" w:rsidRPr="00A85B35">
        <w:rPr>
          <w:rFonts w:ascii="Times New Roman" w:hAnsi="Times New Roman" w:cs="Times New Roman"/>
          <w:color w:val="0D0D0D" w:themeColor="text1" w:themeTint="F2"/>
          <w:sz w:val="24"/>
          <w:szCs w:val="24"/>
        </w:rPr>
        <w:t xml:space="preserve">сывается </w:t>
      </w:r>
      <w:r w:rsidRPr="00A85B35">
        <w:rPr>
          <w:rFonts w:ascii="Times New Roman" w:hAnsi="Times New Roman" w:cs="Times New Roman"/>
          <w:color w:val="0D0D0D" w:themeColor="text1" w:themeTint="F2"/>
          <w:sz w:val="24"/>
          <w:szCs w:val="24"/>
        </w:rPr>
        <w:t>и п</w:t>
      </w:r>
      <w:r w:rsidR="00280F15" w:rsidRPr="00A85B35">
        <w:rPr>
          <w:rFonts w:ascii="Times New Roman" w:hAnsi="Times New Roman" w:cs="Times New Roman"/>
          <w:color w:val="0D0D0D" w:themeColor="text1" w:themeTint="F2"/>
          <w:sz w:val="24"/>
          <w:szCs w:val="24"/>
        </w:rPr>
        <w:t xml:space="preserve">роставляется </w:t>
      </w:r>
      <w:r w:rsidRPr="00A85B35">
        <w:rPr>
          <w:rFonts w:ascii="Times New Roman" w:hAnsi="Times New Roman" w:cs="Times New Roman"/>
          <w:color w:val="0D0D0D" w:themeColor="text1" w:themeTint="F2"/>
          <w:sz w:val="24"/>
          <w:szCs w:val="24"/>
        </w:rPr>
        <w:t>печать (</w:t>
      </w:r>
      <w:r w:rsidR="00280F15" w:rsidRPr="00A85B35">
        <w:rPr>
          <w:rFonts w:ascii="Times New Roman" w:hAnsi="Times New Roman" w:cs="Times New Roman"/>
          <w:color w:val="0D0D0D" w:themeColor="text1" w:themeTint="F2"/>
          <w:sz w:val="24"/>
          <w:szCs w:val="24"/>
        </w:rPr>
        <w:t>при наличии</w:t>
      </w:r>
      <w:r w:rsidRPr="00A85B35">
        <w:rPr>
          <w:rFonts w:ascii="Times New Roman" w:hAnsi="Times New Roman" w:cs="Times New Roman"/>
          <w:color w:val="0D0D0D" w:themeColor="text1" w:themeTint="F2"/>
          <w:sz w:val="24"/>
          <w:szCs w:val="24"/>
        </w:rPr>
        <w:t>).</w:t>
      </w:r>
    </w:p>
    <w:sectPr w:rsidR="00FE339C" w:rsidRPr="00A85B35">
      <w:headerReference w:type="default" r:id="rId6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D791C" w:rsidRDefault="007D791C" w:rsidP="00280F15">
      <w:pPr>
        <w:spacing w:after="0" w:line="240" w:lineRule="auto"/>
      </w:pPr>
      <w:r>
        <w:separator/>
      </w:r>
    </w:p>
  </w:endnote>
  <w:endnote w:type="continuationSeparator" w:id="0">
    <w:p w:rsidR="007D791C" w:rsidRDefault="007D791C" w:rsidP="00280F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D791C" w:rsidRDefault="007D791C" w:rsidP="00280F15">
      <w:pPr>
        <w:spacing w:after="0" w:line="240" w:lineRule="auto"/>
      </w:pPr>
      <w:r>
        <w:separator/>
      </w:r>
    </w:p>
  </w:footnote>
  <w:footnote w:type="continuationSeparator" w:id="0">
    <w:p w:rsidR="007D791C" w:rsidRDefault="007D791C" w:rsidP="00280F15">
      <w:pPr>
        <w:spacing w:after="0" w:line="240" w:lineRule="auto"/>
      </w:pPr>
      <w:r>
        <w:continuationSeparator/>
      </w:r>
    </w:p>
  </w:footnote>
  <w:footnote w:id="1">
    <w:p w:rsidR="00280F15" w:rsidRPr="00280F15" w:rsidRDefault="00280F15" w:rsidP="00280F15">
      <w:pPr>
        <w:autoSpaceDE w:val="0"/>
        <w:autoSpaceDN w:val="0"/>
        <w:adjustRightInd w:val="0"/>
        <w:spacing w:after="0" w:line="240" w:lineRule="auto"/>
        <w:jc w:val="right"/>
        <w:outlineLvl w:val="0"/>
        <w:rPr>
          <w:rFonts w:ascii="Times New Roman" w:hAnsi="Times New Roman" w:cs="Times New Roman"/>
          <w:bCs/>
          <w:sz w:val="16"/>
          <w:szCs w:val="16"/>
        </w:rPr>
      </w:pPr>
      <w:r w:rsidRPr="00280F15">
        <w:rPr>
          <w:rStyle w:val="a6"/>
        </w:rPr>
        <w:footnoteRef/>
      </w:r>
      <w:r w:rsidRPr="00280F15">
        <w:t xml:space="preserve"> </w:t>
      </w:r>
      <w:r w:rsidRPr="00280F15">
        <w:rPr>
          <w:rFonts w:ascii="Times New Roman" w:hAnsi="Times New Roman" w:cs="Times New Roman"/>
          <w:bCs/>
          <w:sz w:val="16"/>
          <w:szCs w:val="16"/>
        </w:rPr>
        <w:t>Приложение 1 к Положению Банка России от 29 июня 2021 года N 762-П "О правилах осуществления перевода денежных средств"</w:t>
      </w:r>
    </w:p>
    <w:p w:rsidR="00280F15" w:rsidRPr="00280F15" w:rsidRDefault="00280F15">
      <w:pPr>
        <w:pStyle w:val="a4"/>
      </w:pPr>
    </w:p>
  </w:footnote>
  <w:footnote w:id="2">
    <w:p w:rsidR="00FA4BAE" w:rsidRPr="00FA4BAE" w:rsidRDefault="00280F15" w:rsidP="00FA4BAE">
      <w:pPr>
        <w:autoSpaceDE w:val="0"/>
        <w:autoSpaceDN w:val="0"/>
        <w:adjustRightInd w:val="0"/>
        <w:spacing w:after="0" w:line="240" w:lineRule="auto"/>
        <w:jc w:val="both"/>
        <w:rPr>
          <w:rFonts w:ascii="Times New Roman" w:hAnsi="Times New Roman" w:cs="Times New Roman"/>
          <w:b/>
          <w:color w:val="0D0D0D" w:themeColor="text1" w:themeTint="F2"/>
          <w:sz w:val="18"/>
          <w:szCs w:val="18"/>
        </w:rPr>
      </w:pPr>
      <w:r w:rsidRPr="00FA4BAE">
        <w:rPr>
          <w:rStyle w:val="a6"/>
          <w:rFonts w:ascii="Times New Roman" w:hAnsi="Times New Roman" w:cs="Times New Roman"/>
          <w:sz w:val="18"/>
          <w:szCs w:val="18"/>
        </w:rPr>
        <w:footnoteRef/>
      </w:r>
      <w:r w:rsidRPr="00FA4BAE">
        <w:rPr>
          <w:rFonts w:ascii="Times New Roman" w:hAnsi="Times New Roman" w:cs="Times New Roman"/>
          <w:sz w:val="18"/>
          <w:szCs w:val="18"/>
        </w:rPr>
        <w:t xml:space="preserve"> </w:t>
      </w:r>
      <w:r w:rsidR="00FA4BAE" w:rsidRPr="00FA4BAE">
        <w:rPr>
          <w:rFonts w:ascii="Times New Roman" w:hAnsi="Times New Roman" w:cs="Times New Roman"/>
          <w:b/>
          <w:sz w:val="18"/>
          <w:szCs w:val="18"/>
        </w:rPr>
        <w:t xml:space="preserve">Очередность списания денежных средств со счета, </w:t>
      </w:r>
      <w:r w:rsidR="00FA4BAE" w:rsidRPr="00FA4BAE">
        <w:rPr>
          <w:rFonts w:ascii="Times New Roman" w:hAnsi="Times New Roman" w:cs="Times New Roman"/>
          <w:b/>
          <w:color w:val="0D0D0D" w:themeColor="text1" w:themeTint="F2"/>
          <w:sz w:val="18"/>
          <w:szCs w:val="18"/>
        </w:rPr>
        <w:t xml:space="preserve">закрепленная </w:t>
      </w:r>
      <w:hyperlink r:id="rId1" w:history="1">
        <w:r w:rsidR="00FA4BAE" w:rsidRPr="00FA4BAE">
          <w:rPr>
            <w:rFonts w:ascii="Times New Roman" w:hAnsi="Times New Roman" w:cs="Times New Roman"/>
            <w:b/>
            <w:color w:val="0D0D0D" w:themeColor="text1" w:themeTint="F2"/>
            <w:sz w:val="18"/>
            <w:szCs w:val="18"/>
          </w:rPr>
          <w:t>пунктом 2 статьи 855</w:t>
        </w:r>
      </w:hyperlink>
      <w:r w:rsidR="00FA4BAE" w:rsidRPr="00FA4BAE">
        <w:rPr>
          <w:rFonts w:ascii="Times New Roman" w:hAnsi="Times New Roman" w:cs="Times New Roman"/>
          <w:b/>
          <w:color w:val="0D0D0D" w:themeColor="text1" w:themeTint="F2"/>
          <w:sz w:val="18"/>
          <w:szCs w:val="18"/>
        </w:rPr>
        <w:t xml:space="preserve"> ГК РФ:</w:t>
      </w:r>
    </w:p>
    <w:p w:rsidR="00FA4BAE" w:rsidRPr="00FA4BAE" w:rsidRDefault="00FA4BAE" w:rsidP="00FA4BAE">
      <w:pPr>
        <w:autoSpaceDE w:val="0"/>
        <w:autoSpaceDN w:val="0"/>
        <w:adjustRightInd w:val="0"/>
        <w:spacing w:after="0" w:line="240" w:lineRule="auto"/>
        <w:jc w:val="both"/>
        <w:rPr>
          <w:rFonts w:ascii="Times New Roman" w:hAnsi="Times New Roman" w:cs="Times New Roman"/>
          <w:sz w:val="18"/>
          <w:szCs w:val="18"/>
        </w:rPr>
      </w:pPr>
      <w:r w:rsidRPr="00FA4BAE">
        <w:rPr>
          <w:rFonts w:ascii="Times New Roman" w:hAnsi="Times New Roman" w:cs="Times New Roman"/>
          <w:sz w:val="18"/>
          <w:szCs w:val="18"/>
        </w:rPr>
        <w:t xml:space="preserve">При наличии на счете денежных средств, сумма которых достаточна для удовлетворения всех требований, предъявленных к счету, списание этих средств со счета осуществляется в порядке поступления распоряжений клиента и других документов на списание (календарная очередность), если </w:t>
      </w:r>
      <w:hyperlink r:id="rId2" w:history="1">
        <w:r w:rsidRPr="00FA4BAE">
          <w:rPr>
            <w:rFonts w:ascii="Times New Roman" w:hAnsi="Times New Roman" w:cs="Times New Roman"/>
            <w:color w:val="0000FF"/>
            <w:sz w:val="18"/>
            <w:szCs w:val="18"/>
          </w:rPr>
          <w:t>иное</w:t>
        </w:r>
      </w:hyperlink>
      <w:r w:rsidRPr="00FA4BAE">
        <w:rPr>
          <w:rFonts w:ascii="Times New Roman" w:hAnsi="Times New Roman" w:cs="Times New Roman"/>
          <w:sz w:val="18"/>
          <w:szCs w:val="18"/>
        </w:rPr>
        <w:t xml:space="preserve"> не предусмотрено законом</w:t>
      </w:r>
    </w:p>
    <w:p w:rsidR="00FA4BAE" w:rsidRPr="00FA4BAE" w:rsidRDefault="00FA4BAE" w:rsidP="00FA4BAE">
      <w:pPr>
        <w:autoSpaceDE w:val="0"/>
        <w:autoSpaceDN w:val="0"/>
        <w:adjustRightInd w:val="0"/>
        <w:spacing w:after="0" w:line="240" w:lineRule="auto"/>
        <w:jc w:val="both"/>
        <w:rPr>
          <w:rFonts w:ascii="Times New Roman" w:hAnsi="Times New Roman" w:cs="Times New Roman"/>
          <w:sz w:val="18"/>
          <w:szCs w:val="18"/>
        </w:rPr>
      </w:pPr>
    </w:p>
    <w:p w:rsidR="00280F15" w:rsidRPr="00FA4BAE" w:rsidRDefault="00280F15" w:rsidP="00FA4BAE">
      <w:pPr>
        <w:autoSpaceDE w:val="0"/>
        <w:autoSpaceDN w:val="0"/>
        <w:adjustRightInd w:val="0"/>
        <w:spacing w:after="0" w:line="240" w:lineRule="auto"/>
        <w:jc w:val="both"/>
        <w:rPr>
          <w:rFonts w:ascii="Times New Roman" w:hAnsi="Times New Roman" w:cs="Times New Roman"/>
          <w:sz w:val="18"/>
          <w:szCs w:val="18"/>
        </w:rPr>
      </w:pPr>
      <w:r w:rsidRPr="00FA4BAE">
        <w:rPr>
          <w:rFonts w:ascii="Times New Roman" w:hAnsi="Times New Roman" w:cs="Times New Roman"/>
          <w:sz w:val="18"/>
          <w:szCs w:val="18"/>
        </w:rPr>
        <w:t>При недостаточности денежных средств на счете для удовлетворения всех предъявленных к нему требований списание денежных средств осуществляется в следующей очередности:</w:t>
      </w:r>
    </w:p>
    <w:p w:rsidR="00280F15" w:rsidRPr="00FA4BAE" w:rsidRDefault="00280F15" w:rsidP="00FA4BAE">
      <w:pPr>
        <w:autoSpaceDE w:val="0"/>
        <w:autoSpaceDN w:val="0"/>
        <w:adjustRightInd w:val="0"/>
        <w:spacing w:after="0" w:line="240" w:lineRule="auto"/>
        <w:ind w:firstLine="540"/>
        <w:jc w:val="both"/>
        <w:rPr>
          <w:rFonts w:ascii="Times New Roman" w:hAnsi="Times New Roman" w:cs="Times New Roman"/>
          <w:sz w:val="18"/>
          <w:szCs w:val="18"/>
        </w:rPr>
      </w:pPr>
      <w:r w:rsidRPr="00FA4BAE">
        <w:rPr>
          <w:rFonts w:ascii="Times New Roman" w:hAnsi="Times New Roman" w:cs="Times New Roman"/>
          <w:sz w:val="18"/>
          <w:szCs w:val="18"/>
        </w:rPr>
        <w:t>в первую очередь по исполнительным документам, предусматривающим перечисление или выдачу денежных средств со счета для удовлетворения требований о возмещении вреда, причиненного жизни или здоровью, а также требований о взыскании алиментов;</w:t>
      </w:r>
    </w:p>
    <w:p w:rsidR="00280F15" w:rsidRPr="00FA4BAE" w:rsidRDefault="00280F15" w:rsidP="00FA4BAE">
      <w:pPr>
        <w:autoSpaceDE w:val="0"/>
        <w:autoSpaceDN w:val="0"/>
        <w:adjustRightInd w:val="0"/>
        <w:spacing w:after="0" w:line="240" w:lineRule="auto"/>
        <w:ind w:firstLine="540"/>
        <w:jc w:val="both"/>
        <w:rPr>
          <w:rFonts w:ascii="Times New Roman" w:hAnsi="Times New Roman" w:cs="Times New Roman"/>
          <w:sz w:val="18"/>
          <w:szCs w:val="18"/>
        </w:rPr>
      </w:pPr>
      <w:r w:rsidRPr="00FA4BAE">
        <w:rPr>
          <w:rFonts w:ascii="Times New Roman" w:hAnsi="Times New Roman" w:cs="Times New Roman"/>
          <w:sz w:val="18"/>
          <w:szCs w:val="18"/>
        </w:rPr>
        <w:t>во вторую очередь по исполнительным документам, предусматривающим перечисление или выдачу денежных средств для расчетов по выплате выходных пособий и оплате труда с лицами, работающими или работавшими по трудовому договору (контракту), по выплате вознаграждений авторам результатов интеллектуальной деятельности;</w:t>
      </w:r>
    </w:p>
    <w:p w:rsidR="00280F15" w:rsidRPr="00FA4BAE" w:rsidRDefault="00280F15" w:rsidP="00FA4BAE">
      <w:pPr>
        <w:autoSpaceDE w:val="0"/>
        <w:autoSpaceDN w:val="0"/>
        <w:adjustRightInd w:val="0"/>
        <w:spacing w:after="0" w:line="240" w:lineRule="auto"/>
        <w:ind w:firstLine="540"/>
        <w:jc w:val="both"/>
        <w:rPr>
          <w:rFonts w:ascii="Times New Roman" w:hAnsi="Times New Roman" w:cs="Times New Roman"/>
          <w:sz w:val="18"/>
          <w:szCs w:val="18"/>
        </w:rPr>
      </w:pPr>
      <w:r w:rsidRPr="00FA4BAE">
        <w:rPr>
          <w:rFonts w:ascii="Times New Roman" w:hAnsi="Times New Roman" w:cs="Times New Roman"/>
          <w:sz w:val="18"/>
          <w:szCs w:val="18"/>
        </w:rPr>
        <w:t>в третью очередь по платежным документам, предусматривающим перечисление или выдачу денежных средств для расчетов по оплате труда с лицами, работающими по трудовому договору (контракту), поручениям налоговых органов на списание и перечисление задолженности по уплате налогов и сборов в бюджеты бюджетной системы Российской Федерации, а также поручениям органов контроля за уплатой страховых взносов на списание и перечисление сумм страховых взносов в бюджеты государственных внебюджетных фондов;</w:t>
      </w:r>
    </w:p>
    <w:p w:rsidR="00280F15" w:rsidRPr="00FA4BAE" w:rsidRDefault="00280F15" w:rsidP="00FA4BAE">
      <w:pPr>
        <w:autoSpaceDE w:val="0"/>
        <w:autoSpaceDN w:val="0"/>
        <w:adjustRightInd w:val="0"/>
        <w:spacing w:after="0" w:line="240" w:lineRule="auto"/>
        <w:ind w:firstLine="540"/>
        <w:jc w:val="both"/>
        <w:rPr>
          <w:rFonts w:ascii="Times New Roman" w:hAnsi="Times New Roman" w:cs="Times New Roman"/>
          <w:sz w:val="18"/>
          <w:szCs w:val="18"/>
        </w:rPr>
      </w:pPr>
      <w:r w:rsidRPr="00FA4BAE">
        <w:rPr>
          <w:rFonts w:ascii="Times New Roman" w:hAnsi="Times New Roman" w:cs="Times New Roman"/>
          <w:sz w:val="18"/>
          <w:szCs w:val="18"/>
        </w:rPr>
        <w:t>в четвертую очередь по исполнительным документам, предусматривающим удовлетворение других денежных требований;</w:t>
      </w:r>
    </w:p>
    <w:p w:rsidR="00280F15" w:rsidRPr="00FA4BAE" w:rsidRDefault="00280F15" w:rsidP="00FA4BAE">
      <w:pPr>
        <w:autoSpaceDE w:val="0"/>
        <w:autoSpaceDN w:val="0"/>
        <w:adjustRightInd w:val="0"/>
        <w:spacing w:after="0" w:line="240" w:lineRule="auto"/>
        <w:ind w:firstLine="540"/>
        <w:jc w:val="both"/>
        <w:rPr>
          <w:rFonts w:ascii="Times New Roman" w:hAnsi="Times New Roman" w:cs="Times New Roman"/>
          <w:sz w:val="18"/>
          <w:szCs w:val="18"/>
        </w:rPr>
      </w:pPr>
      <w:r w:rsidRPr="00FA4BAE">
        <w:rPr>
          <w:rFonts w:ascii="Times New Roman" w:hAnsi="Times New Roman" w:cs="Times New Roman"/>
          <w:sz w:val="18"/>
          <w:szCs w:val="18"/>
        </w:rPr>
        <w:t>в пятую очередь по другим платежным документам в порядке календарной очередности.</w:t>
      </w:r>
    </w:p>
    <w:p w:rsidR="00280F15" w:rsidRPr="00FA4BAE" w:rsidRDefault="00280F15" w:rsidP="00FA4BAE">
      <w:pPr>
        <w:autoSpaceDE w:val="0"/>
        <w:autoSpaceDN w:val="0"/>
        <w:adjustRightInd w:val="0"/>
        <w:spacing w:after="0" w:line="240" w:lineRule="auto"/>
        <w:ind w:firstLine="540"/>
        <w:jc w:val="both"/>
        <w:rPr>
          <w:rFonts w:ascii="Times New Roman" w:hAnsi="Times New Roman" w:cs="Times New Roman"/>
          <w:sz w:val="18"/>
          <w:szCs w:val="18"/>
        </w:rPr>
      </w:pPr>
      <w:r w:rsidRPr="00FA4BAE">
        <w:rPr>
          <w:rFonts w:ascii="Times New Roman" w:hAnsi="Times New Roman" w:cs="Times New Roman"/>
          <w:sz w:val="18"/>
          <w:szCs w:val="18"/>
        </w:rPr>
        <w:t>Списание средств со счета по требованиям, относящимся к одной очереди, производится в порядке календарной очередности поступления документов.</w:t>
      </w:r>
    </w:p>
    <w:p w:rsidR="00280F15" w:rsidRDefault="00280F15" w:rsidP="00FA4BAE">
      <w:pPr>
        <w:pStyle w:val="a4"/>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11201204"/>
      <w:docPartObj>
        <w:docPartGallery w:val="Page Numbers (Top of Page)"/>
        <w:docPartUnique/>
      </w:docPartObj>
    </w:sdtPr>
    <w:sdtEndPr/>
    <w:sdtContent>
      <w:p w:rsidR="00FA4BAE" w:rsidRDefault="00FA4BAE">
        <w:pPr>
          <w:pStyle w:val="a7"/>
          <w:jc w:val="center"/>
        </w:pPr>
        <w:r>
          <w:fldChar w:fldCharType="begin"/>
        </w:r>
        <w:r>
          <w:instrText>PAGE   \* MERGEFORMAT</w:instrText>
        </w:r>
        <w:r>
          <w:fldChar w:fldCharType="separate"/>
        </w:r>
        <w:r w:rsidR="0053157B">
          <w:rPr>
            <w:noProof/>
          </w:rPr>
          <w:t>5</w:t>
        </w:r>
        <w:r>
          <w:fldChar w:fldCharType="end"/>
        </w:r>
      </w:p>
    </w:sdtContent>
  </w:sdt>
  <w:p w:rsidR="00FA4BAE" w:rsidRDefault="00FA4BAE">
    <w:pPr>
      <w:pStyle w:val="a7"/>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443D"/>
    <w:rsid w:val="00280F15"/>
    <w:rsid w:val="0037443D"/>
    <w:rsid w:val="0053157B"/>
    <w:rsid w:val="00532A67"/>
    <w:rsid w:val="005C68CC"/>
    <w:rsid w:val="007D791C"/>
    <w:rsid w:val="00A35353"/>
    <w:rsid w:val="00A85B35"/>
    <w:rsid w:val="00F85BE2"/>
    <w:rsid w:val="00FA4BAE"/>
    <w:rsid w:val="00FE339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432397F-D6E6-4055-A75B-08FB0EC979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37443D"/>
    <w:rPr>
      <w:color w:val="0563C1" w:themeColor="hyperlink"/>
      <w:u w:val="single"/>
    </w:rPr>
  </w:style>
  <w:style w:type="paragraph" w:customStyle="1" w:styleId="ConsPlusNormal">
    <w:name w:val="ConsPlusNormal"/>
    <w:rsid w:val="0037443D"/>
    <w:pPr>
      <w:widowControl w:val="0"/>
      <w:autoSpaceDE w:val="0"/>
      <w:autoSpaceDN w:val="0"/>
      <w:spacing w:after="0" w:line="240" w:lineRule="auto"/>
    </w:pPr>
    <w:rPr>
      <w:rFonts w:ascii="Arial" w:eastAsia="Times New Roman" w:hAnsi="Arial" w:cs="Arial"/>
      <w:sz w:val="20"/>
      <w:szCs w:val="20"/>
      <w:lang w:eastAsia="ru-RU"/>
    </w:rPr>
  </w:style>
  <w:style w:type="paragraph" w:styleId="a4">
    <w:name w:val="footnote text"/>
    <w:basedOn w:val="a"/>
    <w:link w:val="a5"/>
    <w:uiPriority w:val="99"/>
    <w:semiHidden/>
    <w:unhideWhenUsed/>
    <w:rsid w:val="00280F15"/>
    <w:pPr>
      <w:spacing w:after="0" w:line="240" w:lineRule="auto"/>
    </w:pPr>
    <w:rPr>
      <w:sz w:val="20"/>
      <w:szCs w:val="20"/>
    </w:rPr>
  </w:style>
  <w:style w:type="character" w:customStyle="1" w:styleId="a5">
    <w:name w:val="Текст сноски Знак"/>
    <w:basedOn w:val="a0"/>
    <w:link w:val="a4"/>
    <w:uiPriority w:val="99"/>
    <w:semiHidden/>
    <w:rsid w:val="00280F15"/>
    <w:rPr>
      <w:sz w:val="20"/>
      <w:szCs w:val="20"/>
    </w:rPr>
  </w:style>
  <w:style w:type="character" w:styleId="a6">
    <w:name w:val="footnote reference"/>
    <w:basedOn w:val="a0"/>
    <w:uiPriority w:val="99"/>
    <w:semiHidden/>
    <w:unhideWhenUsed/>
    <w:rsid w:val="00280F15"/>
    <w:rPr>
      <w:vertAlign w:val="superscript"/>
    </w:rPr>
  </w:style>
  <w:style w:type="paragraph" w:styleId="a7">
    <w:name w:val="header"/>
    <w:basedOn w:val="a"/>
    <w:link w:val="a8"/>
    <w:uiPriority w:val="99"/>
    <w:unhideWhenUsed/>
    <w:rsid w:val="00FA4BAE"/>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FA4BAE"/>
  </w:style>
  <w:style w:type="paragraph" w:styleId="a9">
    <w:name w:val="footer"/>
    <w:basedOn w:val="a"/>
    <w:link w:val="aa"/>
    <w:uiPriority w:val="99"/>
    <w:unhideWhenUsed/>
    <w:rsid w:val="00FA4BAE"/>
    <w:pPr>
      <w:tabs>
        <w:tab w:val="center" w:pos="4677"/>
        <w:tab w:val="right" w:pos="9355"/>
      </w:tabs>
      <w:spacing w:after="0" w:line="240" w:lineRule="auto"/>
    </w:pPr>
  </w:style>
  <w:style w:type="character" w:customStyle="1" w:styleId="aa">
    <w:name w:val="Нижний колонтитул Знак"/>
    <w:basedOn w:val="a0"/>
    <w:link w:val="a9"/>
    <w:uiPriority w:val="99"/>
    <w:rsid w:val="00FA4B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21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login.consultant.ru/link/?req=doc&amp;base=LAW&amp;n=511073&amp;dst=100824" TargetMode="External"/><Relationship Id="rId21" Type="http://schemas.openxmlformats.org/officeDocument/2006/relationships/hyperlink" Target="https://login.consultant.ru/link/?req=doc&amp;base=LAW&amp;n=511073&amp;dst=100798" TargetMode="External"/><Relationship Id="rId34" Type="http://schemas.openxmlformats.org/officeDocument/2006/relationships/hyperlink" Target="https://login.consultant.ru/link/?req=doc&amp;base=LAW&amp;n=454573&amp;dst=100062" TargetMode="External"/><Relationship Id="rId42" Type="http://schemas.openxmlformats.org/officeDocument/2006/relationships/hyperlink" Target="file:///C:\Users\jELICHOV\AppData\Local\Microsoft\Windows\INetCache\Content.Outlook\R6KTAFHO\&#1040;&#1083;&#1080;&#1084;&#1077;&#1085;&#1090;&#1099;.%20&#1050;&#1072;&#1082;%20&#1079;&#1072;&#1087;&#1086;&#1083;&#1085;&#1080;&#1090;&#1100;%20&#1087;&#1083;&#1072;&#1090;&#1077;&#1078;&#1085;&#1086;&#1077;%20&#1087;&#1086;&#1088;&#1091;&#1095;&#1077;&#1085;&#1080;&#1077;%20&#1085;&#1072;%20&#1087;&#1077;&#1088;&#1077;&#1095;&#1080;.docx" TargetMode="External"/><Relationship Id="rId47" Type="http://schemas.openxmlformats.org/officeDocument/2006/relationships/hyperlink" Target="https://login.consultant.ru/link/?req=doc&amp;base=LAW&amp;n=482834&amp;dst=100493" TargetMode="External"/><Relationship Id="rId50" Type="http://schemas.openxmlformats.org/officeDocument/2006/relationships/hyperlink" Target="https://login.consultant.ru/link/?req=doc&amp;base=LAW&amp;n=454573&amp;dst=100581" TargetMode="External"/><Relationship Id="rId55" Type="http://schemas.openxmlformats.org/officeDocument/2006/relationships/hyperlink" Target="https://login.consultant.ru/link/?req=doc&amp;base=LAW&amp;n=454573&amp;dst=100232" TargetMode="External"/><Relationship Id="rId63" Type="http://schemas.openxmlformats.org/officeDocument/2006/relationships/hyperlink" Target="https://login.consultant.ru/link/?req=doc&amp;base=LAW&amp;n=454573&amp;dst=100573" TargetMode="External"/><Relationship Id="rId68" Type="http://schemas.openxmlformats.org/officeDocument/2006/relationships/theme" Target="theme/theme1.xml"/><Relationship Id="rId7" Type="http://schemas.openxmlformats.org/officeDocument/2006/relationships/hyperlink" Target="https://login.consultant.ru/link/?req=doc&amp;base=LAW&amp;n=519043" TargetMode="External"/><Relationship Id="rId2" Type="http://schemas.openxmlformats.org/officeDocument/2006/relationships/styles" Target="styles.xml"/><Relationship Id="rId16" Type="http://schemas.openxmlformats.org/officeDocument/2006/relationships/hyperlink" Target="https://login.consultant.ru/link/?req=doc&amp;base=LAW&amp;n=502319&amp;dst=212" TargetMode="External"/><Relationship Id="rId29" Type="http://schemas.openxmlformats.org/officeDocument/2006/relationships/hyperlink" Target="https://login.consultant.ru/link/?req=doc&amp;base=LAW&amp;n=508506&amp;dst=337" TargetMode="External"/><Relationship Id="rId11" Type="http://schemas.openxmlformats.org/officeDocument/2006/relationships/hyperlink" Target="https://login.consultant.ru/link/?req=doc&amp;base=LAW&amp;n=502316&amp;dst=18" TargetMode="External"/><Relationship Id="rId24" Type="http://schemas.openxmlformats.org/officeDocument/2006/relationships/hyperlink" Target="https://login.consultant.ru/link/?req=doc&amp;base=LAW&amp;n=511073&amp;dst=100798" TargetMode="External"/><Relationship Id="rId32" Type="http://schemas.openxmlformats.org/officeDocument/2006/relationships/hyperlink" Target="https://login.consultant.ru/link/?req=doc&amp;base=LAW&amp;n=502319&amp;dst=136" TargetMode="External"/><Relationship Id="rId37" Type="http://schemas.openxmlformats.org/officeDocument/2006/relationships/hyperlink" Target="https://login.consultant.ru/link/?req=doc&amp;base=LAW&amp;n=520154" TargetMode="External"/><Relationship Id="rId40" Type="http://schemas.openxmlformats.org/officeDocument/2006/relationships/hyperlink" Target="https://login.consultant.ru/link/?req=doc&amp;base=LAW&amp;n=520154&amp;dst=3990" TargetMode="External"/><Relationship Id="rId45" Type="http://schemas.openxmlformats.org/officeDocument/2006/relationships/hyperlink" Target="https://login.consultant.ru/link/?req=doc&amp;base=LAW&amp;n=454573&amp;dst=100570" TargetMode="External"/><Relationship Id="rId53" Type="http://schemas.openxmlformats.org/officeDocument/2006/relationships/hyperlink" Target="https://login.consultant.ru/link/?req=doc&amp;base=LAW&amp;n=454573&amp;dst=100609" TargetMode="External"/><Relationship Id="rId58" Type="http://schemas.openxmlformats.org/officeDocument/2006/relationships/hyperlink" Target="https://login.consultant.ru/link/?req=doc&amp;base=LAW&amp;n=508506&amp;dst=337" TargetMode="External"/><Relationship Id="rId66" Type="http://schemas.openxmlformats.org/officeDocument/2006/relationships/header" Target="header1.xml"/><Relationship Id="rId5" Type="http://schemas.openxmlformats.org/officeDocument/2006/relationships/footnotes" Target="footnotes.xml"/><Relationship Id="rId61" Type="http://schemas.openxmlformats.org/officeDocument/2006/relationships/hyperlink" Target="https://login.consultant.ru/link/?req=doc&amp;base=LAW&amp;n=511073&amp;dst=784" TargetMode="External"/><Relationship Id="rId19" Type="http://schemas.openxmlformats.org/officeDocument/2006/relationships/hyperlink" Target="https://login.consultant.ru/link/?req=doc&amp;base=LAW&amp;n=420452&amp;dst=107514" TargetMode="External"/><Relationship Id="rId14" Type="http://schemas.openxmlformats.org/officeDocument/2006/relationships/hyperlink" Target="https://login.consultant.ru/link/?req=doc&amp;base=LAW&amp;n=502327&amp;dst=211" TargetMode="External"/><Relationship Id="rId22" Type="http://schemas.openxmlformats.org/officeDocument/2006/relationships/hyperlink" Target="https://login.consultant.ru/link/?req=doc&amp;base=LAW&amp;n=511073&amp;dst=100824" TargetMode="External"/><Relationship Id="rId27" Type="http://schemas.openxmlformats.org/officeDocument/2006/relationships/hyperlink" Target="https://login.consultant.ru/link/?req=doc&amp;base=LAW&amp;n=511073&amp;dst=100790" TargetMode="External"/><Relationship Id="rId30" Type="http://schemas.openxmlformats.org/officeDocument/2006/relationships/hyperlink" Target="https://login.consultant.ru/link/?req=doc&amp;base=LAW&amp;n=511073&amp;dst=722" TargetMode="External"/><Relationship Id="rId35" Type="http://schemas.openxmlformats.org/officeDocument/2006/relationships/hyperlink" Target="https://login.consultant.ru/link/?req=doc&amp;base=LAW&amp;n=502319&amp;dst=100653" TargetMode="External"/><Relationship Id="rId43" Type="http://schemas.openxmlformats.org/officeDocument/2006/relationships/hyperlink" Target="https://login.consultant.ru/link/?req=doc&amp;base=PBI&amp;n=253302&amp;dst=100006" TargetMode="External"/><Relationship Id="rId48" Type="http://schemas.openxmlformats.org/officeDocument/2006/relationships/hyperlink" Target="https://login.consultant.ru/link/?req=doc&amp;base=LAW&amp;n=511073&amp;dst=757" TargetMode="External"/><Relationship Id="rId56" Type="http://schemas.openxmlformats.org/officeDocument/2006/relationships/hyperlink" Target="https://login.consultant.ru/link/?req=doc&amp;base=LAW&amp;n=454573&amp;dst=100432" TargetMode="External"/><Relationship Id="rId64" Type="http://schemas.openxmlformats.org/officeDocument/2006/relationships/hyperlink" Target="https://login.consultant.ru/link/?req=doc&amp;base=LAW&amp;n=454573&amp;dst=100622" TargetMode="External"/><Relationship Id="rId8" Type="http://schemas.openxmlformats.org/officeDocument/2006/relationships/hyperlink" Target="https://login.consultant.ru/link/?req=doc&amp;base=LAW&amp;n=519043" TargetMode="External"/><Relationship Id="rId51" Type="http://schemas.openxmlformats.org/officeDocument/2006/relationships/hyperlink" Target="https://login.consultant.ru/link/?req=doc&amp;base=LAW&amp;n=515484&amp;dst=669" TargetMode="External"/><Relationship Id="rId3" Type="http://schemas.openxmlformats.org/officeDocument/2006/relationships/settings" Target="settings.xml"/><Relationship Id="rId12" Type="http://schemas.openxmlformats.org/officeDocument/2006/relationships/hyperlink" Target="https://login.consultant.ru/link/?req=doc&amp;base=LAW&amp;n=502316" TargetMode="External"/><Relationship Id="rId17" Type="http://schemas.openxmlformats.org/officeDocument/2006/relationships/hyperlink" Target="https://login.consultant.ru/link/?req=doc&amp;base=LAW&amp;n=502327&amp;dst=211" TargetMode="External"/><Relationship Id="rId25" Type="http://schemas.openxmlformats.org/officeDocument/2006/relationships/hyperlink" Target="https://login.consultant.ru/link/?req=doc&amp;base=LAW&amp;n=511073&amp;dst=100824" TargetMode="External"/><Relationship Id="rId33" Type="http://schemas.openxmlformats.org/officeDocument/2006/relationships/hyperlink" Target="https://login.consultant.ru/link/?req=doc&amp;base=LAW&amp;n=502319&amp;dst=218" TargetMode="External"/><Relationship Id="rId38" Type="http://schemas.openxmlformats.org/officeDocument/2006/relationships/hyperlink" Target="http://pravo.gov.ru" TargetMode="External"/><Relationship Id="rId46" Type="http://schemas.openxmlformats.org/officeDocument/2006/relationships/hyperlink" Target="https://login.consultant.ru/link/?req=doc&amp;base=LAW&amp;n=454573&amp;dst=100571" TargetMode="External"/><Relationship Id="rId59" Type="http://schemas.openxmlformats.org/officeDocument/2006/relationships/hyperlink" Target="https://login.consultant.ru/link/?req=doc&amp;base=LAW&amp;n=454573&amp;dst=100613" TargetMode="External"/><Relationship Id="rId67" Type="http://schemas.openxmlformats.org/officeDocument/2006/relationships/fontTable" Target="fontTable.xml"/><Relationship Id="rId20" Type="http://schemas.openxmlformats.org/officeDocument/2006/relationships/hyperlink" Target="https://login.consultant.ru/link/?req=doc&amp;base=LAW&amp;n=511073&amp;dst=100790" TargetMode="External"/><Relationship Id="rId41" Type="http://schemas.openxmlformats.org/officeDocument/2006/relationships/hyperlink" Target="https://login.consultant.ru/link/?req=doc&amp;base=LAW&amp;n=520154&amp;dst=5971" TargetMode="External"/><Relationship Id="rId54" Type="http://schemas.openxmlformats.org/officeDocument/2006/relationships/hyperlink" Target="https://login.consultant.ru/link/?req=doc&amp;base=LAW&amp;n=454573&amp;dst=100049" TargetMode="External"/><Relationship Id="rId62" Type="http://schemas.openxmlformats.org/officeDocument/2006/relationships/hyperlink" Target="https://login.consultant.ru/link/?req=doc&amp;base=LAW&amp;n=454573&amp;dst=100623" TargetMode="External"/><Relationship Id="rId1" Type="http://schemas.openxmlformats.org/officeDocument/2006/relationships/customXml" Target="../customXml/item1.xml"/><Relationship Id="rId6" Type="http://schemas.openxmlformats.org/officeDocument/2006/relationships/endnotes" Target="endnotes.xml"/><Relationship Id="rId15" Type="http://schemas.openxmlformats.org/officeDocument/2006/relationships/hyperlink" Target="https://login.consultant.ru/link/?req=doc&amp;base=LAW&amp;n=420452" TargetMode="External"/><Relationship Id="rId23" Type="http://schemas.openxmlformats.org/officeDocument/2006/relationships/hyperlink" Target="https://login.consultant.ru/link/?req=doc&amp;base=LAW&amp;n=511073&amp;dst=100824" TargetMode="External"/><Relationship Id="rId28" Type="http://schemas.openxmlformats.org/officeDocument/2006/relationships/hyperlink" Target="https://login.consultant.ru/link/?req=doc&amp;base=LAW&amp;n=511073&amp;dst=100797" TargetMode="External"/><Relationship Id="rId36" Type="http://schemas.openxmlformats.org/officeDocument/2006/relationships/hyperlink" Target="https://login.consultant.ru/link/?req=doc&amp;base=LAW&amp;n=502319&amp;dst=100653" TargetMode="External"/><Relationship Id="rId49" Type="http://schemas.openxmlformats.org/officeDocument/2006/relationships/hyperlink" Target="https://login.consultant.ru/link/?req=doc&amp;base=LAW&amp;n=454573&amp;dst=100577" TargetMode="External"/><Relationship Id="rId57" Type="http://schemas.openxmlformats.org/officeDocument/2006/relationships/hyperlink" Target="https://login.consultant.ru/link/?req=doc&amp;base=LAW&amp;n=454573&amp;dst=100611" TargetMode="External"/><Relationship Id="rId10" Type="http://schemas.openxmlformats.org/officeDocument/2006/relationships/hyperlink" Target="https://login.consultant.ru/link/?req=doc&amp;base=LAW&amp;n=502316&amp;dst=18" TargetMode="External"/><Relationship Id="rId31" Type="http://schemas.openxmlformats.org/officeDocument/2006/relationships/hyperlink" Target="https://login.consultant.ru/link/?req=doc&amp;base=LAW&amp;n=502319&amp;dst=100653" TargetMode="External"/><Relationship Id="rId44" Type="http://schemas.openxmlformats.org/officeDocument/2006/relationships/hyperlink" Target="https://login.consultant.ru/link/?req=doc&amp;base=LAW&amp;n=454573&amp;dst=100361" TargetMode="External"/><Relationship Id="rId52" Type="http://schemas.openxmlformats.org/officeDocument/2006/relationships/hyperlink" Target="https://login.consultant.ru/link/?req=doc&amp;base=LAW&amp;n=511073&amp;dst=100793" TargetMode="External"/><Relationship Id="rId60" Type="http://schemas.openxmlformats.org/officeDocument/2006/relationships/hyperlink" Target="https://login.consultant.ru/link/?req=doc&amp;base=LAW&amp;n=511073&amp;dst=796" TargetMode="External"/><Relationship Id="rId65" Type="http://schemas.openxmlformats.org/officeDocument/2006/relationships/hyperlink" Target="https://login.consultant.ru/link/?req=doc&amp;base=LAW&amp;n=454573&amp;dst=100462" TargetMode="External"/><Relationship Id="rId4" Type="http://schemas.openxmlformats.org/officeDocument/2006/relationships/webSettings" Target="webSettings.xml"/><Relationship Id="rId9" Type="http://schemas.openxmlformats.org/officeDocument/2006/relationships/hyperlink" Target="https://login.consultant.ru/link/?req=doc&amp;base=LAW&amp;n=502316&amp;dst=70" TargetMode="External"/><Relationship Id="rId13" Type="http://schemas.openxmlformats.org/officeDocument/2006/relationships/hyperlink" Target="http://pravo.gov.ru" TargetMode="External"/><Relationship Id="rId18" Type="http://schemas.openxmlformats.org/officeDocument/2006/relationships/hyperlink" Target="https://login.consultant.ru/link/?req=doc&amp;base=LAW&amp;n=420452" TargetMode="External"/><Relationship Id="rId39" Type="http://schemas.openxmlformats.org/officeDocument/2006/relationships/hyperlink" Target="https://login.consultant.ru/link/?req=doc&amp;base=LAW&amp;n=520154&amp;dst=5945"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login.consultant.ru/link/?req=doc&amp;base=LAW&amp;n=494990&amp;dst=468" TargetMode="External"/><Relationship Id="rId1" Type="http://schemas.openxmlformats.org/officeDocument/2006/relationships/hyperlink" Target="https://login.consultant.ru/link/?req=doc&amp;base=LAW&amp;n=508506&amp;dst=33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4A42B2-C708-4928-9C86-88EE1DAF55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6622</Words>
  <Characters>37751</Characters>
  <Application>Microsoft Office Word</Application>
  <DocSecurity>0</DocSecurity>
  <Lines>314</Lines>
  <Paragraphs>88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44285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Желиховская Лариса Дмитриевна</dc:creator>
  <cp:keywords/>
  <dc:description/>
  <cp:lastModifiedBy>Заляева Луиза Рашидовна</cp:lastModifiedBy>
  <cp:revision>2</cp:revision>
  <dcterms:created xsi:type="dcterms:W3CDTF">2025-12-09T11:57:00Z</dcterms:created>
  <dcterms:modified xsi:type="dcterms:W3CDTF">2025-12-09T11:57:00Z</dcterms:modified>
</cp:coreProperties>
</file>